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05D8" w14:textId="2BD2BDBF" w:rsidR="007C5850" w:rsidRPr="00FA5F30" w:rsidRDefault="00FA5F30" w:rsidP="007C5850">
      <w:pPr>
        <w:pStyle w:val="BodyText3"/>
        <w:ind w:right="-540"/>
        <w:jc w:val="center"/>
        <w:rPr>
          <w:rFonts w:ascii="Garamond" w:hAnsi="Garamond" w:cs="Calibri"/>
          <w:b/>
          <w:iCs/>
          <w:sz w:val="24"/>
          <w:szCs w:val="24"/>
        </w:rPr>
      </w:pPr>
      <w:r w:rsidRPr="00FA5F30">
        <w:rPr>
          <w:rFonts w:ascii="Garamond" w:hAnsi="Garamond" w:cs="Calibri"/>
          <w:b/>
          <w:iCs/>
          <w:sz w:val="24"/>
          <w:szCs w:val="24"/>
        </w:rPr>
        <w:t xml:space="preserve">RFP </w:t>
      </w:r>
      <w:r w:rsidR="00A2309B">
        <w:rPr>
          <w:rFonts w:ascii="Garamond" w:hAnsi="Garamond" w:cs="Calibri"/>
          <w:b/>
          <w:iCs/>
          <w:sz w:val="24"/>
          <w:szCs w:val="24"/>
        </w:rPr>
        <w:t>2</w:t>
      </w:r>
      <w:r w:rsidR="00E80525">
        <w:rPr>
          <w:rFonts w:ascii="Garamond" w:hAnsi="Garamond" w:cs="Calibri"/>
          <w:b/>
          <w:iCs/>
          <w:sz w:val="24"/>
          <w:szCs w:val="24"/>
        </w:rPr>
        <w:t>3</w:t>
      </w:r>
      <w:r w:rsidRPr="00FA5F30">
        <w:rPr>
          <w:rFonts w:ascii="Garamond" w:hAnsi="Garamond" w:cs="Calibri"/>
          <w:b/>
          <w:iCs/>
          <w:sz w:val="24"/>
          <w:szCs w:val="24"/>
        </w:rPr>
        <w:t>-</w:t>
      </w:r>
      <w:r w:rsidR="00062827">
        <w:rPr>
          <w:rFonts w:ascii="Garamond" w:hAnsi="Garamond" w:cs="Calibri"/>
          <w:b/>
          <w:iCs/>
          <w:sz w:val="24"/>
          <w:szCs w:val="24"/>
        </w:rPr>
        <w:t>01</w:t>
      </w:r>
    </w:p>
    <w:p w14:paraId="632D1957" w14:textId="77777777" w:rsidR="007C5850" w:rsidRPr="00FA5F30" w:rsidRDefault="007C5850" w:rsidP="007C5850">
      <w:pPr>
        <w:pStyle w:val="BodyText3"/>
        <w:ind w:right="-540"/>
        <w:jc w:val="center"/>
        <w:rPr>
          <w:rFonts w:ascii="Garamond" w:hAnsi="Garamond" w:cs="Calibri"/>
          <w:b/>
          <w:iCs/>
          <w:sz w:val="24"/>
          <w:szCs w:val="24"/>
        </w:rPr>
      </w:pPr>
      <w:r w:rsidRPr="00FA5F30">
        <w:rPr>
          <w:rFonts w:ascii="Garamond" w:hAnsi="Garamond" w:cs="Calibri"/>
          <w:b/>
          <w:iCs/>
          <w:sz w:val="24"/>
          <w:szCs w:val="24"/>
        </w:rPr>
        <w:t xml:space="preserve">  ATTACHMENT H</w:t>
      </w:r>
    </w:p>
    <w:p w14:paraId="543211C5" w14:textId="77777777" w:rsidR="007C5850" w:rsidRPr="00FA5F30" w:rsidRDefault="007C5850" w:rsidP="007C5850">
      <w:pPr>
        <w:pStyle w:val="BodyText3"/>
        <w:jc w:val="center"/>
        <w:rPr>
          <w:rFonts w:ascii="Garamond" w:hAnsi="Garamond" w:cs="Calibri"/>
          <w:b/>
          <w:iCs/>
          <w:sz w:val="24"/>
          <w:szCs w:val="24"/>
        </w:rPr>
      </w:pPr>
      <w:r w:rsidRPr="00FA5F30">
        <w:rPr>
          <w:rFonts w:ascii="Garamond" w:hAnsi="Garamond" w:cs="Calibri"/>
          <w:b/>
          <w:iCs/>
          <w:sz w:val="24"/>
          <w:szCs w:val="24"/>
        </w:rPr>
        <w:t xml:space="preserve">           SCOPE OF SERVICES  </w:t>
      </w:r>
    </w:p>
    <w:p w14:paraId="1FE09360" w14:textId="77777777" w:rsidR="007C5850" w:rsidRPr="00B10812" w:rsidRDefault="007C5850" w:rsidP="007C5850">
      <w:pPr>
        <w:pStyle w:val="BodyText3"/>
        <w:tabs>
          <w:tab w:val="left" w:pos="360"/>
        </w:tabs>
        <w:jc w:val="both"/>
        <w:rPr>
          <w:rFonts w:ascii="Garamond" w:hAnsi="Garamond" w:cs="Calibri"/>
          <w:iCs/>
          <w:sz w:val="24"/>
          <w:szCs w:val="24"/>
        </w:rPr>
      </w:pPr>
    </w:p>
    <w:p w14:paraId="0582976E" w14:textId="157D5B77" w:rsidR="007C5850" w:rsidRPr="00B10812" w:rsidRDefault="007C5850" w:rsidP="007C5850">
      <w:pPr>
        <w:pStyle w:val="BodyText3"/>
        <w:tabs>
          <w:tab w:val="left" w:pos="2016"/>
        </w:tabs>
        <w:jc w:val="both"/>
        <w:rPr>
          <w:rFonts w:ascii="Garamond" w:hAnsi="Garamond" w:cs="Calibri"/>
          <w:bCs/>
          <w:iCs/>
          <w:sz w:val="24"/>
          <w:szCs w:val="24"/>
        </w:rPr>
      </w:pPr>
      <w:r w:rsidRPr="00B10812">
        <w:rPr>
          <w:rFonts w:ascii="Garamond" w:hAnsi="Garamond" w:cs="Calibri"/>
          <w:bCs/>
          <w:iCs/>
          <w:sz w:val="24"/>
          <w:szCs w:val="24"/>
        </w:rPr>
        <w:t xml:space="preserve">The purpose of this solicitation and resulting contractual services is to conduct a disparity study and statistical analysis of utilization based on total dollar contracts paid to </w:t>
      </w:r>
      <w:r w:rsidR="007227E1" w:rsidRPr="00B10812">
        <w:rPr>
          <w:rFonts w:ascii="Garamond" w:hAnsi="Garamond" w:cs="Calibri"/>
          <w:bCs/>
          <w:iCs/>
          <w:sz w:val="24"/>
          <w:szCs w:val="24"/>
        </w:rPr>
        <w:t>Minority Business Enterprises (</w:t>
      </w:r>
      <w:r w:rsidRPr="00B10812">
        <w:rPr>
          <w:rFonts w:ascii="Garamond" w:hAnsi="Garamond" w:cs="Calibri"/>
          <w:bCs/>
          <w:iCs/>
          <w:sz w:val="24"/>
          <w:szCs w:val="24"/>
        </w:rPr>
        <w:t>MBEs</w:t>
      </w:r>
      <w:r w:rsidR="007227E1" w:rsidRPr="00B10812">
        <w:rPr>
          <w:rFonts w:ascii="Garamond" w:hAnsi="Garamond" w:cs="Calibri"/>
          <w:bCs/>
          <w:iCs/>
          <w:sz w:val="24"/>
          <w:szCs w:val="24"/>
        </w:rPr>
        <w:t>) and Women</w:t>
      </w:r>
      <w:r w:rsidR="00A93EFE" w:rsidRPr="00B10812">
        <w:rPr>
          <w:rFonts w:ascii="Garamond" w:hAnsi="Garamond" w:cs="Calibri"/>
          <w:bCs/>
          <w:iCs/>
          <w:sz w:val="24"/>
          <w:szCs w:val="24"/>
        </w:rPr>
        <w:t xml:space="preserve"> </w:t>
      </w:r>
      <w:r w:rsidR="007227E1" w:rsidRPr="00B10812">
        <w:rPr>
          <w:rFonts w:ascii="Garamond" w:hAnsi="Garamond" w:cs="Calibri"/>
          <w:bCs/>
          <w:iCs/>
          <w:sz w:val="24"/>
          <w:szCs w:val="24"/>
        </w:rPr>
        <w:t>Business Enterprises (WBEs)</w:t>
      </w:r>
      <w:r w:rsidRPr="00B10812">
        <w:rPr>
          <w:rFonts w:ascii="Garamond" w:hAnsi="Garamond" w:cs="Calibri"/>
          <w:bCs/>
          <w:iCs/>
          <w:sz w:val="24"/>
          <w:szCs w:val="24"/>
        </w:rPr>
        <w:t xml:space="preserve"> for the State </w:t>
      </w:r>
      <w:r w:rsidR="00A2309B">
        <w:rPr>
          <w:rFonts w:ascii="Garamond" w:hAnsi="Garamond" w:cs="Calibri"/>
          <w:bCs/>
          <w:iCs/>
          <w:sz w:val="24"/>
          <w:szCs w:val="24"/>
        </w:rPr>
        <w:t>Lottery Commission (Lottery)</w:t>
      </w:r>
      <w:r w:rsidRPr="00B10812">
        <w:rPr>
          <w:rFonts w:ascii="Garamond" w:hAnsi="Garamond" w:cs="Calibri"/>
          <w:bCs/>
          <w:iCs/>
          <w:sz w:val="24"/>
          <w:szCs w:val="24"/>
        </w:rPr>
        <w:t>, in compliance with the requirements set forth in IC 4-</w:t>
      </w:r>
      <w:r w:rsidR="00A2309B">
        <w:rPr>
          <w:rFonts w:ascii="Garamond" w:hAnsi="Garamond" w:cs="Calibri"/>
          <w:bCs/>
          <w:iCs/>
          <w:sz w:val="24"/>
          <w:szCs w:val="24"/>
        </w:rPr>
        <w:t>30</w:t>
      </w:r>
      <w:r w:rsidRPr="00B10812">
        <w:rPr>
          <w:rFonts w:ascii="Garamond" w:hAnsi="Garamond" w:cs="Calibri"/>
          <w:bCs/>
          <w:iCs/>
          <w:sz w:val="24"/>
          <w:szCs w:val="24"/>
        </w:rPr>
        <w:t>-</w:t>
      </w:r>
      <w:r w:rsidR="00A2309B">
        <w:rPr>
          <w:rFonts w:ascii="Garamond" w:hAnsi="Garamond" w:cs="Calibri"/>
          <w:bCs/>
          <w:iCs/>
          <w:sz w:val="24"/>
          <w:szCs w:val="24"/>
        </w:rPr>
        <w:t>1</w:t>
      </w:r>
      <w:r w:rsidRPr="00B10812">
        <w:rPr>
          <w:rFonts w:ascii="Garamond" w:hAnsi="Garamond" w:cs="Calibri"/>
          <w:bCs/>
          <w:iCs/>
          <w:sz w:val="24"/>
          <w:szCs w:val="24"/>
        </w:rPr>
        <w:t>-2</w:t>
      </w:r>
      <w:r w:rsidR="00A2309B">
        <w:rPr>
          <w:rFonts w:ascii="Garamond" w:hAnsi="Garamond" w:cs="Calibri"/>
          <w:bCs/>
          <w:iCs/>
          <w:sz w:val="24"/>
          <w:szCs w:val="24"/>
        </w:rPr>
        <w:t>(5) and IC 4-13-16.5-1</w:t>
      </w:r>
      <w:r w:rsidR="000F07D2" w:rsidRPr="00B10812">
        <w:rPr>
          <w:rFonts w:ascii="Garamond" w:hAnsi="Garamond" w:cs="Calibri"/>
          <w:bCs/>
          <w:iCs/>
          <w:sz w:val="24"/>
          <w:szCs w:val="24"/>
        </w:rPr>
        <w:t>.</w:t>
      </w:r>
      <w:r w:rsidR="00B26CB3">
        <w:rPr>
          <w:rFonts w:ascii="Garamond" w:hAnsi="Garamond" w:cs="Calibri"/>
          <w:bCs/>
          <w:iCs/>
          <w:sz w:val="24"/>
          <w:szCs w:val="24"/>
        </w:rPr>
        <w:t xml:space="preserve"> The S</w:t>
      </w:r>
      <w:r w:rsidRPr="00B10812">
        <w:rPr>
          <w:rFonts w:ascii="Garamond" w:hAnsi="Garamond" w:cs="Calibri"/>
          <w:bCs/>
          <w:iCs/>
          <w:sz w:val="24"/>
          <w:szCs w:val="24"/>
        </w:rPr>
        <w:t xml:space="preserve">tatistical </w:t>
      </w:r>
      <w:r w:rsidR="00B26CB3">
        <w:rPr>
          <w:rFonts w:ascii="Garamond" w:hAnsi="Garamond" w:cs="Calibri"/>
          <w:bCs/>
          <w:iCs/>
          <w:sz w:val="24"/>
          <w:szCs w:val="24"/>
        </w:rPr>
        <w:t>A</w:t>
      </w:r>
      <w:r w:rsidRPr="00B10812">
        <w:rPr>
          <w:rFonts w:ascii="Garamond" w:hAnsi="Garamond" w:cs="Calibri"/>
          <w:bCs/>
          <w:iCs/>
          <w:sz w:val="24"/>
          <w:szCs w:val="24"/>
        </w:rPr>
        <w:t xml:space="preserve">nalysis of </w:t>
      </w:r>
      <w:r w:rsidR="00B26CB3">
        <w:rPr>
          <w:rFonts w:ascii="Garamond" w:hAnsi="Garamond" w:cs="Calibri"/>
          <w:bCs/>
          <w:iCs/>
          <w:sz w:val="24"/>
          <w:szCs w:val="24"/>
        </w:rPr>
        <w:t>U</w:t>
      </w:r>
      <w:r w:rsidRPr="00B10812">
        <w:rPr>
          <w:rFonts w:ascii="Garamond" w:hAnsi="Garamond" w:cs="Calibri"/>
          <w:bCs/>
          <w:iCs/>
          <w:sz w:val="24"/>
          <w:szCs w:val="24"/>
        </w:rPr>
        <w:t>tilization</w:t>
      </w:r>
      <w:r w:rsidR="00B26CB3">
        <w:rPr>
          <w:rFonts w:ascii="Garamond" w:hAnsi="Garamond" w:cs="Calibri"/>
          <w:bCs/>
          <w:iCs/>
          <w:sz w:val="24"/>
          <w:szCs w:val="24"/>
        </w:rPr>
        <w:t xml:space="preserve"> Study (Study)</w:t>
      </w:r>
      <w:r w:rsidRPr="00B10812">
        <w:rPr>
          <w:rFonts w:ascii="Garamond" w:hAnsi="Garamond" w:cs="Calibri"/>
          <w:bCs/>
          <w:iCs/>
          <w:sz w:val="24"/>
          <w:szCs w:val="24"/>
        </w:rPr>
        <w:t xml:space="preserve"> will involve dat</w:t>
      </w:r>
      <w:r w:rsidR="001504B4" w:rsidRPr="00B10812">
        <w:rPr>
          <w:rFonts w:ascii="Garamond" w:hAnsi="Garamond" w:cs="Calibri"/>
          <w:bCs/>
          <w:iCs/>
          <w:sz w:val="24"/>
          <w:szCs w:val="24"/>
        </w:rPr>
        <w:t xml:space="preserve">a for the period of </w:t>
      </w:r>
      <w:r w:rsidR="000F07D2" w:rsidRPr="00B10812">
        <w:rPr>
          <w:rFonts w:ascii="Garamond" w:hAnsi="Garamond" w:cs="Calibri"/>
          <w:bCs/>
          <w:iCs/>
          <w:sz w:val="24"/>
          <w:szCs w:val="24"/>
        </w:rPr>
        <w:t xml:space="preserve">July 1, </w:t>
      </w:r>
      <w:proofErr w:type="gramStart"/>
      <w:r w:rsidR="000F07D2" w:rsidRPr="00B10812">
        <w:rPr>
          <w:rFonts w:ascii="Garamond" w:hAnsi="Garamond" w:cs="Calibri"/>
          <w:bCs/>
          <w:iCs/>
          <w:sz w:val="24"/>
          <w:szCs w:val="24"/>
        </w:rPr>
        <w:t>201</w:t>
      </w:r>
      <w:r w:rsidR="00A2309B">
        <w:rPr>
          <w:rFonts w:ascii="Garamond" w:hAnsi="Garamond" w:cs="Calibri"/>
          <w:bCs/>
          <w:iCs/>
          <w:sz w:val="24"/>
          <w:szCs w:val="24"/>
        </w:rPr>
        <w:t>7</w:t>
      </w:r>
      <w:proofErr w:type="gramEnd"/>
      <w:r w:rsidR="000F07D2" w:rsidRPr="00B10812">
        <w:rPr>
          <w:rFonts w:ascii="Garamond" w:hAnsi="Garamond" w:cs="Calibri"/>
          <w:bCs/>
          <w:iCs/>
          <w:sz w:val="24"/>
          <w:szCs w:val="24"/>
        </w:rPr>
        <w:t xml:space="preserve"> through June 30, 20</w:t>
      </w:r>
      <w:r w:rsidR="00A2309B">
        <w:rPr>
          <w:rFonts w:ascii="Garamond" w:hAnsi="Garamond" w:cs="Calibri"/>
          <w:bCs/>
          <w:iCs/>
          <w:sz w:val="24"/>
          <w:szCs w:val="24"/>
        </w:rPr>
        <w:t>22</w:t>
      </w:r>
      <w:r w:rsidRPr="00B10812">
        <w:rPr>
          <w:rFonts w:ascii="Garamond" w:hAnsi="Garamond" w:cs="Calibri"/>
          <w:bCs/>
          <w:iCs/>
          <w:sz w:val="24"/>
          <w:szCs w:val="24"/>
        </w:rPr>
        <w:t xml:space="preserve">.  </w:t>
      </w:r>
    </w:p>
    <w:p w14:paraId="7DF80A5C" w14:textId="77777777" w:rsidR="00EA0E01" w:rsidRPr="00B10812" w:rsidRDefault="00EA0E01" w:rsidP="00A03FD7">
      <w:pPr>
        <w:pStyle w:val="BodyText3"/>
        <w:tabs>
          <w:tab w:val="left" w:pos="2016"/>
        </w:tabs>
        <w:spacing w:after="0"/>
        <w:jc w:val="both"/>
        <w:rPr>
          <w:rFonts w:ascii="Garamond" w:hAnsi="Garamond" w:cs="Calibri"/>
          <w:bCs/>
          <w:iCs/>
          <w:sz w:val="24"/>
          <w:szCs w:val="24"/>
        </w:rPr>
      </w:pPr>
    </w:p>
    <w:p w14:paraId="0AC05AAC" w14:textId="56868608" w:rsidR="00A2309B" w:rsidRPr="00A2309B" w:rsidRDefault="00A2309B" w:rsidP="00A2309B">
      <w:pPr>
        <w:pStyle w:val="BodyText3"/>
        <w:tabs>
          <w:tab w:val="left" w:pos="2016"/>
        </w:tabs>
        <w:spacing w:after="0"/>
        <w:jc w:val="both"/>
        <w:rPr>
          <w:rFonts w:ascii="Garamond" w:hAnsi="Garamond"/>
          <w:color w:val="333333"/>
          <w:sz w:val="24"/>
          <w:szCs w:val="24"/>
        </w:rPr>
      </w:pPr>
      <w:r>
        <w:rPr>
          <w:rFonts w:ascii="Garamond" w:hAnsi="Garamond" w:cs="Calibri"/>
          <w:bCs/>
          <w:iCs/>
          <w:sz w:val="24"/>
          <w:szCs w:val="24"/>
        </w:rPr>
        <w:t>4-13-16.5-1(h)</w:t>
      </w:r>
      <w:r w:rsidR="007227E1" w:rsidRPr="00A2309B">
        <w:rPr>
          <w:rFonts w:ascii="Garamond" w:hAnsi="Garamond" w:cs="Calibri"/>
          <w:bCs/>
          <w:iCs/>
          <w:sz w:val="24"/>
          <w:szCs w:val="24"/>
        </w:rPr>
        <w:t xml:space="preserve"> defines an MBE as follows: </w:t>
      </w:r>
      <w:r w:rsidRPr="00A2309B">
        <w:rPr>
          <w:rFonts w:ascii="Garamond" w:hAnsi="Garamond" w:cs="Calibri"/>
          <w:bCs/>
          <w:iCs/>
          <w:sz w:val="24"/>
          <w:szCs w:val="24"/>
        </w:rPr>
        <w:t>“an</w:t>
      </w:r>
      <w:r w:rsidRPr="00A2309B">
        <w:rPr>
          <w:rFonts w:ascii="Garamond" w:hAnsi="Garamond"/>
          <w:color w:val="333333"/>
          <w:sz w:val="24"/>
          <w:szCs w:val="24"/>
        </w:rPr>
        <w:t> individual, partnership, corporation, limited liability company, or joint venture of any kind that is owned and controlled by one (1) or more persons who are:</w:t>
      </w:r>
    </w:p>
    <w:p w14:paraId="10632BAA" w14:textId="3EEC298A" w:rsidR="00A2309B" w:rsidRPr="00A2309B" w:rsidRDefault="00A2309B" w:rsidP="00A2309B">
      <w:pPr>
        <w:pStyle w:val="NormalWeb"/>
        <w:shd w:val="clear" w:color="auto" w:fill="FFFFFF"/>
        <w:spacing w:before="0" w:beforeAutospacing="0" w:after="0" w:afterAutospacing="0"/>
        <w:ind w:firstLine="446"/>
        <w:rPr>
          <w:rFonts w:ascii="Garamond" w:hAnsi="Garamond"/>
          <w:color w:val="333333"/>
        </w:rPr>
      </w:pPr>
      <w:r w:rsidRPr="00A2309B">
        <w:rPr>
          <w:rFonts w:ascii="Garamond" w:hAnsi="Garamond"/>
          <w:color w:val="333333"/>
        </w:rPr>
        <w:t>(1) United States citizens; and</w:t>
      </w:r>
    </w:p>
    <w:p w14:paraId="478ECE8E" w14:textId="7966F99C" w:rsidR="00A2309B" w:rsidRPr="00A2309B" w:rsidRDefault="00A2309B" w:rsidP="00A2309B">
      <w:pPr>
        <w:pStyle w:val="NormalWeb"/>
        <w:shd w:val="clear" w:color="auto" w:fill="FFFFFF"/>
        <w:spacing w:before="0" w:beforeAutospacing="0" w:after="0" w:afterAutospacing="0"/>
        <w:ind w:left="446"/>
        <w:rPr>
          <w:rFonts w:ascii="Garamond" w:hAnsi="Garamond"/>
          <w:color w:val="333333"/>
        </w:rPr>
      </w:pPr>
      <w:r w:rsidRPr="00A2309B">
        <w:rPr>
          <w:rFonts w:ascii="Garamond" w:hAnsi="Garamond"/>
          <w:color w:val="333333"/>
        </w:rPr>
        <w:t>(2) members of a minority group or a qualified minority nonprofit corporation.”</w:t>
      </w:r>
    </w:p>
    <w:p w14:paraId="38D48306" w14:textId="4D08954F" w:rsidR="00A2309B" w:rsidRPr="00A2309B" w:rsidRDefault="00A2309B" w:rsidP="00A03FD7">
      <w:pPr>
        <w:pStyle w:val="BodyText3"/>
        <w:tabs>
          <w:tab w:val="left" w:pos="2016"/>
        </w:tabs>
        <w:spacing w:after="0"/>
        <w:jc w:val="both"/>
        <w:rPr>
          <w:rFonts w:ascii="Garamond" w:hAnsi="Garamond" w:cs="Calibri"/>
          <w:bCs/>
          <w:iCs/>
          <w:sz w:val="24"/>
          <w:szCs w:val="24"/>
        </w:rPr>
      </w:pPr>
    </w:p>
    <w:p w14:paraId="5D54D55C" w14:textId="79F5384E" w:rsidR="00A2309B" w:rsidRPr="00A2309B" w:rsidRDefault="00A2309B" w:rsidP="00A03FD7">
      <w:pPr>
        <w:pStyle w:val="BodyText3"/>
        <w:tabs>
          <w:tab w:val="left" w:pos="2016"/>
        </w:tabs>
        <w:spacing w:after="0"/>
        <w:jc w:val="both"/>
        <w:rPr>
          <w:rFonts w:ascii="Garamond" w:hAnsi="Garamond" w:cs="Calibri"/>
          <w:bCs/>
          <w:iCs/>
          <w:sz w:val="24"/>
          <w:szCs w:val="24"/>
        </w:rPr>
      </w:pPr>
      <w:r w:rsidRPr="00A2309B">
        <w:rPr>
          <w:rFonts w:ascii="Garamond" w:hAnsi="Garamond" w:cs="Calibri"/>
          <w:bCs/>
          <w:iCs/>
          <w:sz w:val="24"/>
          <w:szCs w:val="24"/>
        </w:rPr>
        <w:t xml:space="preserve">4-13-16.5-1(l) defines a “minority group” as: </w:t>
      </w:r>
    </w:p>
    <w:p w14:paraId="76E908A0" w14:textId="32CABA5D" w:rsidR="00A2309B" w:rsidRPr="00A2309B" w:rsidRDefault="00A2309B" w:rsidP="00A2309B">
      <w:pPr>
        <w:pStyle w:val="NormalWeb"/>
        <w:shd w:val="clear" w:color="auto" w:fill="FFFFFF"/>
        <w:spacing w:before="0" w:beforeAutospacing="0" w:after="0" w:afterAutospacing="0"/>
        <w:rPr>
          <w:rFonts w:ascii="Garamond" w:hAnsi="Garamond"/>
          <w:color w:val="333333"/>
        </w:rPr>
      </w:pPr>
      <w:r w:rsidRPr="00A2309B">
        <w:rPr>
          <w:rFonts w:ascii="Garamond" w:hAnsi="Garamond"/>
          <w:color w:val="333333"/>
        </w:rPr>
        <w:t> </w:t>
      </w:r>
      <w:r w:rsidRPr="00A2309B">
        <w:rPr>
          <w:rFonts w:ascii="Garamond" w:hAnsi="Garamond"/>
          <w:color w:val="333333"/>
        </w:rPr>
        <w:tab/>
        <w:t xml:space="preserve">(1) African </w:t>
      </w:r>
      <w:proofErr w:type="gramStart"/>
      <w:r w:rsidRPr="00A2309B">
        <w:rPr>
          <w:rFonts w:ascii="Garamond" w:hAnsi="Garamond"/>
          <w:color w:val="333333"/>
        </w:rPr>
        <w:t>Americans;</w:t>
      </w:r>
      <w:proofErr w:type="gramEnd"/>
    </w:p>
    <w:p w14:paraId="64FCCB2C" w14:textId="77777777" w:rsidR="00A2309B" w:rsidRPr="00A2309B" w:rsidRDefault="00A2309B" w:rsidP="00A2309B">
      <w:pPr>
        <w:pStyle w:val="NormalWeb"/>
        <w:shd w:val="clear" w:color="auto" w:fill="FFFFFF"/>
        <w:spacing w:before="0" w:beforeAutospacing="0" w:after="0" w:afterAutospacing="0"/>
        <w:ind w:left="446" w:firstLine="274"/>
        <w:rPr>
          <w:rFonts w:ascii="Garamond" w:hAnsi="Garamond"/>
          <w:color w:val="333333"/>
        </w:rPr>
      </w:pPr>
      <w:r w:rsidRPr="00A2309B">
        <w:rPr>
          <w:rFonts w:ascii="Garamond" w:hAnsi="Garamond"/>
          <w:color w:val="333333"/>
        </w:rPr>
        <w:t xml:space="preserve">(2) Native </w:t>
      </w:r>
      <w:proofErr w:type="gramStart"/>
      <w:r w:rsidRPr="00A2309B">
        <w:rPr>
          <w:rFonts w:ascii="Garamond" w:hAnsi="Garamond"/>
          <w:color w:val="333333"/>
        </w:rPr>
        <w:t>Americans;</w:t>
      </w:r>
      <w:proofErr w:type="gramEnd"/>
    </w:p>
    <w:p w14:paraId="510B4A4C" w14:textId="77777777" w:rsidR="00A2309B" w:rsidRPr="00A2309B" w:rsidRDefault="00A2309B" w:rsidP="00A2309B">
      <w:pPr>
        <w:pStyle w:val="NormalWeb"/>
        <w:shd w:val="clear" w:color="auto" w:fill="FFFFFF"/>
        <w:spacing w:before="0" w:beforeAutospacing="0" w:after="0" w:afterAutospacing="0"/>
        <w:ind w:left="446" w:firstLine="274"/>
        <w:rPr>
          <w:rFonts w:ascii="Garamond" w:hAnsi="Garamond"/>
          <w:color w:val="333333"/>
        </w:rPr>
      </w:pPr>
      <w:r w:rsidRPr="00A2309B">
        <w:rPr>
          <w:rFonts w:ascii="Garamond" w:hAnsi="Garamond"/>
          <w:color w:val="333333"/>
        </w:rPr>
        <w:t>(3) Hispanic Americans; and</w:t>
      </w:r>
    </w:p>
    <w:p w14:paraId="392E345B" w14:textId="77777777" w:rsidR="00A2309B" w:rsidRPr="00A2309B" w:rsidRDefault="00A2309B" w:rsidP="00A2309B">
      <w:pPr>
        <w:pStyle w:val="NormalWeb"/>
        <w:shd w:val="clear" w:color="auto" w:fill="FFFFFF"/>
        <w:spacing w:before="0" w:beforeAutospacing="0" w:after="0" w:afterAutospacing="0"/>
        <w:ind w:left="446" w:firstLine="274"/>
        <w:rPr>
          <w:rFonts w:ascii="Garamond" w:hAnsi="Garamond"/>
          <w:color w:val="333333"/>
        </w:rPr>
      </w:pPr>
      <w:r w:rsidRPr="00A2309B">
        <w:rPr>
          <w:rFonts w:ascii="Garamond" w:hAnsi="Garamond"/>
          <w:color w:val="333333"/>
        </w:rPr>
        <w:t>(4) Asian Americans.</w:t>
      </w:r>
    </w:p>
    <w:p w14:paraId="65FA931C" w14:textId="77777777" w:rsidR="00A2309B" w:rsidRPr="00A2309B" w:rsidRDefault="00A2309B" w:rsidP="00A03FD7">
      <w:pPr>
        <w:pStyle w:val="BodyText3"/>
        <w:tabs>
          <w:tab w:val="left" w:pos="2016"/>
        </w:tabs>
        <w:spacing w:after="0"/>
        <w:jc w:val="both"/>
        <w:rPr>
          <w:rFonts w:ascii="Garamond" w:hAnsi="Garamond" w:cs="Calibri"/>
          <w:bCs/>
          <w:iCs/>
          <w:sz w:val="24"/>
          <w:szCs w:val="24"/>
        </w:rPr>
      </w:pPr>
    </w:p>
    <w:p w14:paraId="2312CDBC" w14:textId="0028DD6D" w:rsidR="00A2309B" w:rsidRPr="00A2309B" w:rsidRDefault="00A2309B" w:rsidP="00A2309B">
      <w:pPr>
        <w:pStyle w:val="BodyText3"/>
        <w:tabs>
          <w:tab w:val="left" w:pos="2016"/>
        </w:tabs>
        <w:spacing w:after="0"/>
        <w:jc w:val="both"/>
        <w:rPr>
          <w:rFonts w:ascii="Garamond" w:hAnsi="Garamond" w:cs="Calibri"/>
          <w:bCs/>
          <w:iCs/>
          <w:sz w:val="24"/>
          <w:szCs w:val="24"/>
        </w:rPr>
      </w:pPr>
      <w:r w:rsidRPr="00A2309B">
        <w:rPr>
          <w:rFonts w:ascii="Garamond" w:hAnsi="Garamond" w:cs="Calibri"/>
          <w:bCs/>
          <w:iCs/>
          <w:sz w:val="24"/>
          <w:szCs w:val="24"/>
        </w:rPr>
        <w:t>4-13-16.5-1(l) defines a “</w:t>
      </w:r>
      <w:r>
        <w:rPr>
          <w:rFonts w:ascii="Garamond" w:hAnsi="Garamond" w:cs="Calibri"/>
          <w:bCs/>
          <w:iCs/>
          <w:sz w:val="24"/>
          <w:szCs w:val="24"/>
        </w:rPr>
        <w:t>Women’s business enterprise” as a business that is one (1) of the following:</w:t>
      </w:r>
      <w:r w:rsidRPr="00A2309B">
        <w:rPr>
          <w:rFonts w:ascii="Garamond" w:hAnsi="Garamond" w:cs="Calibri"/>
          <w:bCs/>
          <w:iCs/>
          <w:sz w:val="24"/>
          <w:szCs w:val="24"/>
        </w:rPr>
        <w:t xml:space="preserve"> </w:t>
      </w:r>
    </w:p>
    <w:p w14:paraId="6EDB4A29" w14:textId="77777777" w:rsidR="00A2309B" w:rsidRPr="00A2309B" w:rsidRDefault="00A2309B" w:rsidP="00A2309B">
      <w:pPr>
        <w:pStyle w:val="NormalWeb"/>
        <w:shd w:val="clear" w:color="auto" w:fill="FFFFFF"/>
        <w:spacing w:before="0" w:beforeAutospacing="0" w:after="0" w:afterAutospacing="0"/>
        <w:ind w:left="446"/>
        <w:rPr>
          <w:rFonts w:ascii="Garamond" w:hAnsi="Garamond"/>
          <w:color w:val="333333"/>
        </w:rPr>
      </w:pPr>
      <w:r w:rsidRPr="00A2309B">
        <w:rPr>
          <w:rFonts w:ascii="Garamond" w:hAnsi="Garamond"/>
          <w:color w:val="333333"/>
        </w:rPr>
        <w:t>(1) A sole proprietorship owned and controlled by a woman.</w:t>
      </w:r>
    </w:p>
    <w:p w14:paraId="6DB8FA22" w14:textId="77777777" w:rsidR="00A2309B" w:rsidRPr="00A2309B" w:rsidRDefault="00A2309B" w:rsidP="00A2309B">
      <w:pPr>
        <w:pStyle w:val="NormalWeb"/>
        <w:shd w:val="clear" w:color="auto" w:fill="FFFFFF"/>
        <w:spacing w:before="0" w:beforeAutospacing="0" w:after="0" w:afterAutospacing="0"/>
        <w:ind w:left="446"/>
        <w:rPr>
          <w:rFonts w:ascii="Garamond" w:hAnsi="Garamond"/>
          <w:color w:val="333333"/>
        </w:rPr>
      </w:pPr>
      <w:r w:rsidRPr="00A2309B">
        <w:rPr>
          <w:rFonts w:ascii="Garamond" w:hAnsi="Garamond"/>
          <w:color w:val="333333"/>
        </w:rPr>
        <w:t>(2) A partnership or joint venture owned and controlled by women in which:</w:t>
      </w:r>
    </w:p>
    <w:p w14:paraId="6C60D246" w14:textId="77777777" w:rsidR="00A2309B" w:rsidRPr="00A2309B" w:rsidRDefault="00A2309B" w:rsidP="00A2309B">
      <w:pPr>
        <w:pStyle w:val="NormalWeb"/>
        <w:shd w:val="clear" w:color="auto" w:fill="FFFFFF"/>
        <w:spacing w:before="0" w:beforeAutospacing="0" w:after="0" w:afterAutospacing="0"/>
        <w:ind w:left="629"/>
        <w:rPr>
          <w:rFonts w:ascii="Garamond" w:hAnsi="Garamond"/>
          <w:color w:val="333333"/>
        </w:rPr>
      </w:pPr>
      <w:r w:rsidRPr="00A2309B">
        <w:rPr>
          <w:rFonts w:ascii="Garamond" w:hAnsi="Garamond"/>
          <w:color w:val="333333"/>
        </w:rPr>
        <w:t>(A) at least fifty-one percent (51%) of the ownership is held by women; and</w:t>
      </w:r>
    </w:p>
    <w:p w14:paraId="596FC53C" w14:textId="77777777" w:rsidR="00A2309B" w:rsidRPr="00A2309B" w:rsidRDefault="00A2309B" w:rsidP="00A2309B">
      <w:pPr>
        <w:pStyle w:val="NormalWeb"/>
        <w:shd w:val="clear" w:color="auto" w:fill="FFFFFF"/>
        <w:spacing w:before="0" w:beforeAutospacing="0" w:after="0" w:afterAutospacing="0"/>
        <w:ind w:left="629"/>
        <w:rPr>
          <w:rFonts w:ascii="Garamond" w:hAnsi="Garamond"/>
          <w:color w:val="333333"/>
        </w:rPr>
      </w:pPr>
      <w:r w:rsidRPr="00A2309B">
        <w:rPr>
          <w:rFonts w:ascii="Garamond" w:hAnsi="Garamond"/>
          <w:color w:val="333333"/>
        </w:rPr>
        <w:t>(B) the management and daily business operations are controlled by at least one (1) of the women who owns the business.</w:t>
      </w:r>
    </w:p>
    <w:p w14:paraId="2FEE67BD" w14:textId="77777777" w:rsidR="00A2309B" w:rsidRPr="00A2309B" w:rsidRDefault="00A2309B" w:rsidP="00A2309B">
      <w:pPr>
        <w:pStyle w:val="NormalWeb"/>
        <w:shd w:val="clear" w:color="auto" w:fill="FFFFFF"/>
        <w:spacing w:before="0" w:beforeAutospacing="0" w:after="0" w:afterAutospacing="0"/>
        <w:ind w:left="446"/>
        <w:rPr>
          <w:rFonts w:ascii="Garamond" w:hAnsi="Garamond"/>
          <w:color w:val="333333"/>
        </w:rPr>
      </w:pPr>
      <w:r w:rsidRPr="00A2309B">
        <w:rPr>
          <w:rFonts w:ascii="Garamond" w:hAnsi="Garamond"/>
          <w:color w:val="333333"/>
        </w:rPr>
        <w:t>(3) A corporation or other entity:</w:t>
      </w:r>
    </w:p>
    <w:p w14:paraId="680E8870" w14:textId="77777777" w:rsidR="00A2309B" w:rsidRPr="00A2309B" w:rsidRDefault="00A2309B" w:rsidP="00A2309B">
      <w:pPr>
        <w:pStyle w:val="NormalWeb"/>
        <w:shd w:val="clear" w:color="auto" w:fill="FFFFFF"/>
        <w:spacing w:before="0" w:beforeAutospacing="0" w:after="0" w:afterAutospacing="0"/>
        <w:ind w:left="629"/>
        <w:rPr>
          <w:rFonts w:ascii="Garamond" w:hAnsi="Garamond"/>
          <w:color w:val="333333"/>
        </w:rPr>
      </w:pPr>
      <w:r w:rsidRPr="00A2309B">
        <w:rPr>
          <w:rFonts w:ascii="Garamond" w:hAnsi="Garamond"/>
          <w:color w:val="333333"/>
        </w:rPr>
        <w:t>(A) whose management and daily business operations are controlled by at least one (1) of the women who owns the business; and</w:t>
      </w:r>
    </w:p>
    <w:p w14:paraId="1095152B" w14:textId="77777777" w:rsidR="00A2309B" w:rsidRPr="00A2309B" w:rsidRDefault="00A2309B" w:rsidP="00A2309B">
      <w:pPr>
        <w:pStyle w:val="NormalWeb"/>
        <w:shd w:val="clear" w:color="auto" w:fill="FFFFFF"/>
        <w:spacing w:before="0" w:beforeAutospacing="0" w:after="0" w:afterAutospacing="0"/>
        <w:ind w:left="629"/>
        <w:rPr>
          <w:rFonts w:ascii="Garamond" w:hAnsi="Garamond"/>
          <w:color w:val="333333"/>
        </w:rPr>
      </w:pPr>
      <w:r w:rsidRPr="00A2309B">
        <w:rPr>
          <w:rFonts w:ascii="Garamond" w:hAnsi="Garamond"/>
          <w:color w:val="333333"/>
        </w:rPr>
        <w:t>(B) that is at least fifty-one percent (51%) owned by women, or if stock is issued, at least fifty-one percent (51%) of the stock is owned by at least one (1) of the women.</w:t>
      </w:r>
    </w:p>
    <w:p w14:paraId="4259DC5A" w14:textId="77777777" w:rsidR="00A2309B" w:rsidRPr="00A2309B" w:rsidRDefault="00A2309B" w:rsidP="00A2309B">
      <w:pPr>
        <w:pStyle w:val="NormalWeb"/>
        <w:shd w:val="clear" w:color="auto" w:fill="FFFFFF"/>
        <w:spacing w:before="0" w:beforeAutospacing="0" w:after="0" w:afterAutospacing="0"/>
        <w:ind w:left="446"/>
        <w:rPr>
          <w:rFonts w:ascii="Garamond" w:hAnsi="Garamond"/>
          <w:color w:val="333333"/>
        </w:rPr>
      </w:pPr>
      <w:r w:rsidRPr="00A2309B">
        <w:rPr>
          <w:rFonts w:ascii="Garamond" w:hAnsi="Garamond"/>
          <w:color w:val="333333"/>
        </w:rPr>
        <w:t>(4) A qualified women's nonprofit corporation.</w:t>
      </w:r>
    </w:p>
    <w:p w14:paraId="7557B278" w14:textId="77777777" w:rsidR="007227E1" w:rsidRPr="00B10812" w:rsidRDefault="007227E1" w:rsidP="007C5850">
      <w:pPr>
        <w:pStyle w:val="BodyText3"/>
        <w:tabs>
          <w:tab w:val="left" w:pos="2016"/>
        </w:tabs>
        <w:jc w:val="both"/>
        <w:rPr>
          <w:rFonts w:ascii="Garamond" w:hAnsi="Garamond" w:cs="Calibri"/>
          <w:bCs/>
          <w:iCs/>
          <w:sz w:val="24"/>
          <w:szCs w:val="24"/>
        </w:rPr>
      </w:pPr>
    </w:p>
    <w:p w14:paraId="0E2B882C" w14:textId="77777777" w:rsidR="007C5850" w:rsidRPr="00B10812" w:rsidRDefault="007C5850" w:rsidP="007C5850">
      <w:pPr>
        <w:pStyle w:val="BodyText3"/>
        <w:tabs>
          <w:tab w:val="left" w:pos="360"/>
        </w:tabs>
        <w:jc w:val="both"/>
        <w:rPr>
          <w:rFonts w:ascii="Garamond" w:hAnsi="Garamond" w:cs="Calibri"/>
          <w:b/>
          <w:iCs/>
          <w:sz w:val="24"/>
          <w:szCs w:val="24"/>
        </w:rPr>
      </w:pPr>
      <w:r w:rsidRPr="00B10812">
        <w:rPr>
          <w:rFonts w:ascii="Garamond" w:hAnsi="Garamond" w:cs="Calibri"/>
          <w:b/>
          <w:iCs/>
          <w:sz w:val="24"/>
          <w:szCs w:val="24"/>
        </w:rPr>
        <w:t>Services to be provided:</w:t>
      </w:r>
    </w:p>
    <w:p w14:paraId="3713BA48" w14:textId="4A27042C" w:rsidR="007C5850" w:rsidRPr="00B10812" w:rsidRDefault="007C5850" w:rsidP="007C5850">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 xml:space="preserve">To assess/evaluate the extent of utilization and availability of MBE’s and WBE’s as </w:t>
      </w:r>
      <w:r w:rsidR="006D5B6E" w:rsidRPr="00B10812">
        <w:rPr>
          <w:rFonts w:ascii="Garamond" w:hAnsi="Garamond" w:cs="Calibri"/>
          <w:b/>
          <w:bCs/>
          <w:iCs/>
          <w:sz w:val="24"/>
          <w:szCs w:val="24"/>
        </w:rPr>
        <w:t>prime contractors</w:t>
      </w:r>
      <w:r w:rsidRPr="00B10812">
        <w:rPr>
          <w:rFonts w:ascii="Garamond" w:hAnsi="Garamond" w:cs="Calibri"/>
          <w:bCs/>
          <w:iCs/>
          <w:sz w:val="24"/>
          <w:szCs w:val="24"/>
        </w:rPr>
        <w:t xml:space="preserve">, distinct from the assessment of subcontractors, in the procurement of </w:t>
      </w:r>
      <w:r w:rsidR="006B0812" w:rsidRPr="00B10812">
        <w:rPr>
          <w:rFonts w:ascii="Garamond" w:hAnsi="Garamond" w:cs="Calibri"/>
          <w:bCs/>
          <w:iCs/>
          <w:sz w:val="24"/>
          <w:szCs w:val="24"/>
        </w:rPr>
        <w:t>construction, professional services,</w:t>
      </w:r>
      <w:r w:rsidR="00A03FD7" w:rsidRPr="00B10812">
        <w:rPr>
          <w:rFonts w:ascii="Garamond" w:hAnsi="Garamond" w:cs="Calibri"/>
          <w:bCs/>
          <w:iCs/>
          <w:sz w:val="24"/>
          <w:szCs w:val="24"/>
        </w:rPr>
        <w:t xml:space="preserve"> </w:t>
      </w:r>
      <w:r w:rsidR="00A2309B">
        <w:rPr>
          <w:rFonts w:ascii="Garamond" w:hAnsi="Garamond" w:cs="Calibri"/>
          <w:bCs/>
          <w:iCs/>
          <w:sz w:val="24"/>
          <w:szCs w:val="24"/>
        </w:rPr>
        <w:t>other services, and supplies</w:t>
      </w:r>
      <w:r w:rsidRPr="00B10812">
        <w:rPr>
          <w:rFonts w:ascii="Garamond" w:hAnsi="Garamond" w:cs="Calibri"/>
          <w:bCs/>
          <w:iCs/>
          <w:sz w:val="24"/>
          <w:szCs w:val="24"/>
        </w:rPr>
        <w:t xml:space="preserve">. The assessment and evaluation </w:t>
      </w:r>
      <w:r w:rsidR="00105B4E" w:rsidRPr="00B10812">
        <w:rPr>
          <w:rFonts w:ascii="Garamond" w:hAnsi="Garamond" w:cs="Calibri"/>
          <w:bCs/>
          <w:iCs/>
          <w:sz w:val="24"/>
          <w:szCs w:val="24"/>
        </w:rPr>
        <w:t xml:space="preserve">should </w:t>
      </w:r>
      <w:r w:rsidRPr="00B10812">
        <w:rPr>
          <w:rFonts w:ascii="Garamond" w:hAnsi="Garamond" w:cs="Calibri"/>
          <w:bCs/>
          <w:iCs/>
          <w:sz w:val="24"/>
          <w:szCs w:val="24"/>
        </w:rPr>
        <w:t>discuss how the data from this study</w:t>
      </w:r>
      <w:r w:rsidR="008D3CA6" w:rsidRPr="00B10812">
        <w:rPr>
          <w:rFonts w:ascii="Garamond" w:hAnsi="Garamond" w:cs="Calibri"/>
          <w:bCs/>
          <w:iCs/>
          <w:sz w:val="24"/>
          <w:szCs w:val="24"/>
        </w:rPr>
        <w:t>,</w:t>
      </w:r>
      <w:r w:rsidRPr="00B10812">
        <w:rPr>
          <w:rFonts w:ascii="Garamond" w:hAnsi="Garamond" w:cs="Calibri"/>
          <w:bCs/>
          <w:iCs/>
          <w:sz w:val="24"/>
          <w:szCs w:val="24"/>
        </w:rPr>
        <w:t xml:space="preserve"> and any other studies previously completed by the respective respondent</w:t>
      </w:r>
      <w:r w:rsidR="008D3CA6" w:rsidRPr="00B10812">
        <w:rPr>
          <w:rFonts w:ascii="Garamond" w:hAnsi="Garamond" w:cs="Calibri"/>
          <w:bCs/>
          <w:iCs/>
          <w:sz w:val="24"/>
          <w:szCs w:val="24"/>
        </w:rPr>
        <w:t>,</w:t>
      </w:r>
      <w:r w:rsidRPr="00B10812">
        <w:rPr>
          <w:rFonts w:ascii="Garamond" w:hAnsi="Garamond" w:cs="Calibri"/>
          <w:bCs/>
          <w:iCs/>
          <w:sz w:val="24"/>
          <w:szCs w:val="24"/>
        </w:rPr>
        <w:t xml:space="preserve"> distinguishes between MBE and WBE prime contractors and subcontractors.</w:t>
      </w:r>
    </w:p>
    <w:p w14:paraId="0ADE1BC6" w14:textId="77777777" w:rsidR="007C5850" w:rsidRPr="00B10812" w:rsidRDefault="007C5850" w:rsidP="007C5850">
      <w:pPr>
        <w:pStyle w:val="BodyText3"/>
        <w:tabs>
          <w:tab w:val="left" w:pos="360"/>
        </w:tabs>
        <w:ind w:left="360" w:hanging="360"/>
        <w:jc w:val="both"/>
        <w:rPr>
          <w:rFonts w:ascii="Garamond" w:hAnsi="Garamond" w:cs="Calibri"/>
          <w:bCs/>
          <w:iCs/>
          <w:sz w:val="24"/>
          <w:szCs w:val="24"/>
        </w:rPr>
      </w:pPr>
    </w:p>
    <w:p w14:paraId="05DC3694" w14:textId="2067F2B5" w:rsidR="007C5850" w:rsidRPr="00B10812" w:rsidRDefault="007C5850" w:rsidP="007C5850">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 xml:space="preserve">To assess/evaluate the utilization and availability of MBE’s and WBE’s as </w:t>
      </w:r>
      <w:r w:rsidR="006D5B6E" w:rsidRPr="00B10812">
        <w:rPr>
          <w:rFonts w:ascii="Garamond" w:hAnsi="Garamond" w:cs="Calibri"/>
          <w:b/>
          <w:bCs/>
          <w:iCs/>
          <w:sz w:val="24"/>
          <w:szCs w:val="24"/>
        </w:rPr>
        <w:t>subcontractors</w:t>
      </w:r>
      <w:r w:rsidRPr="00B10812">
        <w:rPr>
          <w:rFonts w:ascii="Garamond" w:hAnsi="Garamond" w:cs="Calibri"/>
          <w:bCs/>
          <w:iCs/>
          <w:sz w:val="24"/>
          <w:szCs w:val="24"/>
        </w:rPr>
        <w:t xml:space="preserve">, distinct from the assessment of primary contractors, in the procurement of </w:t>
      </w:r>
      <w:r w:rsidR="006B0812" w:rsidRPr="00B10812">
        <w:rPr>
          <w:rFonts w:ascii="Garamond" w:hAnsi="Garamond" w:cs="Calibri"/>
          <w:bCs/>
          <w:iCs/>
          <w:sz w:val="24"/>
          <w:szCs w:val="24"/>
        </w:rPr>
        <w:t>construction, professional services,</w:t>
      </w:r>
      <w:r w:rsidR="00A03FD7" w:rsidRPr="00B10812">
        <w:rPr>
          <w:rFonts w:ascii="Garamond" w:hAnsi="Garamond" w:cs="Calibri"/>
          <w:bCs/>
          <w:iCs/>
          <w:sz w:val="24"/>
          <w:szCs w:val="24"/>
        </w:rPr>
        <w:t xml:space="preserve"> </w:t>
      </w:r>
      <w:r w:rsidR="00A2309B">
        <w:rPr>
          <w:rFonts w:ascii="Garamond" w:hAnsi="Garamond" w:cs="Calibri"/>
          <w:bCs/>
          <w:iCs/>
          <w:sz w:val="24"/>
          <w:szCs w:val="24"/>
        </w:rPr>
        <w:t>other services, and supplies</w:t>
      </w:r>
      <w:r w:rsidR="00A2309B" w:rsidRPr="00B10812">
        <w:rPr>
          <w:rFonts w:ascii="Garamond" w:hAnsi="Garamond" w:cs="Calibri"/>
          <w:bCs/>
          <w:iCs/>
          <w:sz w:val="24"/>
          <w:szCs w:val="24"/>
        </w:rPr>
        <w:t xml:space="preserve">. </w:t>
      </w:r>
      <w:r w:rsidRPr="00B10812">
        <w:rPr>
          <w:rFonts w:ascii="Garamond" w:hAnsi="Garamond" w:cs="Calibri"/>
          <w:bCs/>
          <w:iCs/>
          <w:sz w:val="24"/>
          <w:szCs w:val="24"/>
        </w:rPr>
        <w:t>The assessment and evaluation must discuss how the data from this study</w:t>
      </w:r>
      <w:r w:rsidR="00827844" w:rsidRPr="00B10812">
        <w:rPr>
          <w:rFonts w:ascii="Garamond" w:hAnsi="Garamond" w:cs="Calibri"/>
          <w:bCs/>
          <w:iCs/>
          <w:sz w:val="24"/>
          <w:szCs w:val="24"/>
        </w:rPr>
        <w:t>,</w:t>
      </w:r>
      <w:r w:rsidRPr="00B10812">
        <w:rPr>
          <w:rFonts w:ascii="Garamond" w:hAnsi="Garamond" w:cs="Calibri"/>
          <w:bCs/>
          <w:iCs/>
          <w:sz w:val="24"/>
          <w:szCs w:val="24"/>
        </w:rPr>
        <w:t xml:space="preserve"> and any other studies previously completed by the respective respondent</w:t>
      </w:r>
      <w:r w:rsidR="00827844" w:rsidRPr="00B10812">
        <w:rPr>
          <w:rFonts w:ascii="Garamond" w:hAnsi="Garamond" w:cs="Calibri"/>
          <w:bCs/>
          <w:iCs/>
          <w:sz w:val="24"/>
          <w:szCs w:val="24"/>
        </w:rPr>
        <w:t>,</w:t>
      </w:r>
      <w:r w:rsidRPr="00B10812">
        <w:rPr>
          <w:rFonts w:ascii="Garamond" w:hAnsi="Garamond" w:cs="Calibri"/>
          <w:bCs/>
          <w:iCs/>
          <w:sz w:val="24"/>
          <w:szCs w:val="24"/>
        </w:rPr>
        <w:t xml:space="preserve"> distinguishes between MBE and WBE prime contractors and subcontractors.</w:t>
      </w:r>
    </w:p>
    <w:p w14:paraId="6C266F5B" w14:textId="77777777" w:rsidR="007C5850" w:rsidRPr="00B10812" w:rsidRDefault="007C5850" w:rsidP="007C5850">
      <w:pPr>
        <w:pStyle w:val="BodyText3"/>
        <w:tabs>
          <w:tab w:val="left" w:pos="360"/>
        </w:tabs>
        <w:ind w:left="360" w:hanging="360"/>
        <w:jc w:val="both"/>
        <w:rPr>
          <w:rFonts w:ascii="Garamond" w:hAnsi="Garamond" w:cs="Calibri"/>
          <w:bCs/>
          <w:iCs/>
          <w:sz w:val="24"/>
          <w:szCs w:val="24"/>
        </w:rPr>
      </w:pPr>
    </w:p>
    <w:p w14:paraId="7EF189E1" w14:textId="20E08F60" w:rsidR="007C5850" w:rsidRDefault="007C5850" w:rsidP="00492CA2">
      <w:pPr>
        <w:pStyle w:val="BodyText3"/>
        <w:widowControl/>
        <w:numPr>
          <w:ilvl w:val="0"/>
          <w:numId w:val="1"/>
        </w:numPr>
        <w:tabs>
          <w:tab w:val="left" w:pos="360"/>
        </w:tabs>
        <w:spacing w:after="0"/>
        <w:jc w:val="both"/>
        <w:rPr>
          <w:rFonts w:ascii="Garamond" w:hAnsi="Garamond" w:cs="Calibri"/>
          <w:bCs/>
          <w:iCs/>
          <w:sz w:val="24"/>
          <w:szCs w:val="24"/>
        </w:rPr>
      </w:pPr>
      <w:r w:rsidRPr="00A2309B">
        <w:rPr>
          <w:rFonts w:ascii="Garamond" w:hAnsi="Garamond" w:cs="Calibri"/>
          <w:bCs/>
          <w:iCs/>
          <w:sz w:val="24"/>
          <w:szCs w:val="24"/>
        </w:rPr>
        <w:t xml:space="preserve">To </w:t>
      </w:r>
      <w:r w:rsidR="00634330" w:rsidRPr="00A2309B">
        <w:rPr>
          <w:rFonts w:ascii="Garamond" w:hAnsi="Garamond" w:cs="Calibri"/>
          <w:bCs/>
          <w:iCs/>
          <w:sz w:val="24"/>
          <w:szCs w:val="24"/>
        </w:rPr>
        <w:t>utilize the</w:t>
      </w:r>
      <w:r w:rsidR="00F04CA7" w:rsidRPr="00A2309B">
        <w:rPr>
          <w:rFonts w:ascii="Garamond" w:hAnsi="Garamond" w:cs="Calibri"/>
          <w:bCs/>
          <w:iCs/>
          <w:sz w:val="24"/>
          <w:szCs w:val="24"/>
        </w:rPr>
        <w:t xml:space="preserve"> </w:t>
      </w:r>
      <w:r w:rsidRPr="00A2309B">
        <w:rPr>
          <w:rFonts w:ascii="Garamond" w:hAnsi="Garamond" w:cs="Calibri"/>
          <w:bCs/>
          <w:iCs/>
          <w:sz w:val="24"/>
          <w:szCs w:val="24"/>
        </w:rPr>
        <w:t xml:space="preserve">State’s </w:t>
      </w:r>
      <w:r w:rsidRPr="00A2309B">
        <w:rPr>
          <w:rFonts w:ascii="Garamond" w:hAnsi="Garamond" w:cs="Calibri"/>
          <w:b/>
          <w:bCs/>
          <w:iCs/>
          <w:sz w:val="24"/>
          <w:szCs w:val="24"/>
        </w:rPr>
        <w:t>registered</w:t>
      </w:r>
      <w:r w:rsidR="002E2F5F" w:rsidRPr="00A2309B">
        <w:rPr>
          <w:rFonts w:ascii="Garamond" w:hAnsi="Garamond" w:cs="Calibri"/>
          <w:bCs/>
          <w:iCs/>
          <w:sz w:val="24"/>
          <w:szCs w:val="24"/>
        </w:rPr>
        <w:t xml:space="preserve"> </w:t>
      </w:r>
      <w:r w:rsidR="00571268" w:rsidRPr="00A2309B">
        <w:rPr>
          <w:rFonts w:ascii="Garamond" w:hAnsi="Garamond" w:cs="Calibri"/>
          <w:b/>
          <w:bCs/>
          <w:iCs/>
          <w:sz w:val="24"/>
          <w:szCs w:val="24"/>
        </w:rPr>
        <w:t>bidder list and</w:t>
      </w:r>
      <w:r w:rsidRPr="00A2309B">
        <w:rPr>
          <w:rFonts w:ascii="Garamond" w:hAnsi="Garamond" w:cs="Calibri"/>
          <w:bCs/>
          <w:iCs/>
          <w:sz w:val="24"/>
          <w:szCs w:val="24"/>
        </w:rPr>
        <w:t xml:space="preserve"> a </w:t>
      </w:r>
      <w:r w:rsidR="00634330" w:rsidRPr="00A2309B">
        <w:rPr>
          <w:rFonts w:ascii="Garamond" w:hAnsi="Garamond" w:cs="Calibri"/>
          <w:bCs/>
          <w:iCs/>
          <w:sz w:val="24"/>
          <w:szCs w:val="24"/>
        </w:rPr>
        <w:t xml:space="preserve">custom </w:t>
      </w:r>
      <w:r w:rsidRPr="00A2309B">
        <w:rPr>
          <w:rFonts w:ascii="Garamond" w:hAnsi="Garamond" w:cs="Calibri"/>
          <w:bCs/>
          <w:iCs/>
          <w:sz w:val="24"/>
          <w:szCs w:val="24"/>
        </w:rPr>
        <w:t>census</w:t>
      </w:r>
      <w:r w:rsidR="00177171" w:rsidRPr="00A2309B">
        <w:rPr>
          <w:rFonts w:ascii="Garamond" w:hAnsi="Garamond" w:cs="Calibri"/>
          <w:bCs/>
          <w:iCs/>
          <w:sz w:val="24"/>
          <w:szCs w:val="24"/>
        </w:rPr>
        <w:t xml:space="preserve"> (of available businesses that are available to do business as a contractor for the </w:t>
      </w:r>
      <w:r w:rsidR="00A2309B" w:rsidRPr="00A2309B">
        <w:rPr>
          <w:rFonts w:ascii="Garamond" w:hAnsi="Garamond" w:cs="Calibri"/>
          <w:bCs/>
          <w:iCs/>
          <w:sz w:val="24"/>
          <w:szCs w:val="24"/>
        </w:rPr>
        <w:t>Lottery</w:t>
      </w:r>
      <w:r w:rsidR="000E1510" w:rsidRPr="00A2309B">
        <w:rPr>
          <w:rFonts w:ascii="Garamond" w:hAnsi="Garamond" w:cs="Calibri"/>
          <w:bCs/>
          <w:iCs/>
          <w:sz w:val="24"/>
          <w:szCs w:val="24"/>
        </w:rPr>
        <w:t>,</w:t>
      </w:r>
      <w:r w:rsidR="00177171" w:rsidRPr="00A2309B">
        <w:rPr>
          <w:rFonts w:ascii="Garamond" w:hAnsi="Garamond" w:cs="Calibri"/>
          <w:bCs/>
          <w:iCs/>
          <w:sz w:val="24"/>
          <w:szCs w:val="24"/>
        </w:rPr>
        <w:t xml:space="preserve"> i.e. State of Indiana listing, Dunn and Bradstreet business listing, </w:t>
      </w:r>
      <w:r w:rsidR="00A338DE" w:rsidRPr="00A2309B">
        <w:rPr>
          <w:rFonts w:ascii="Garamond" w:hAnsi="Garamond" w:cs="Calibri"/>
          <w:bCs/>
          <w:iCs/>
          <w:sz w:val="24"/>
          <w:szCs w:val="24"/>
        </w:rPr>
        <w:t xml:space="preserve">Mid-States Minority Supplier Development Council, </w:t>
      </w:r>
      <w:r w:rsidR="007070EE" w:rsidRPr="00A2309B">
        <w:rPr>
          <w:rFonts w:ascii="Garamond" w:hAnsi="Garamond" w:cs="Calibri"/>
          <w:bCs/>
          <w:iCs/>
          <w:sz w:val="24"/>
          <w:szCs w:val="24"/>
        </w:rPr>
        <w:t>National Association of Women Business Owners,</w:t>
      </w:r>
      <w:r w:rsidR="00C54934" w:rsidRPr="00A2309B">
        <w:rPr>
          <w:rFonts w:ascii="Garamond" w:hAnsi="Garamond" w:cs="Calibri"/>
          <w:bCs/>
          <w:iCs/>
          <w:sz w:val="24"/>
          <w:szCs w:val="24"/>
        </w:rPr>
        <w:t xml:space="preserve"> State Educational Institutions,</w:t>
      </w:r>
      <w:r w:rsidR="007070EE" w:rsidRPr="00A2309B">
        <w:rPr>
          <w:rFonts w:ascii="Garamond" w:hAnsi="Garamond" w:cs="Calibri"/>
          <w:bCs/>
          <w:iCs/>
          <w:sz w:val="24"/>
          <w:szCs w:val="24"/>
        </w:rPr>
        <w:t xml:space="preserve"> </w:t>
      </w:r>
      <w:r w:rsidR="00A338DE" w:rsidRPr="00A2309B">
        <w:rPr>
          <w:rFonts w:ascii="Garamond" w:hAnsi="Garamond" w:cs="Calibri"/>
          <w:bCs/>
          <w:iCs/>
          <w:sz w:val="24"/>
          <w:szCs w:val="24"/>
        </w:rPr>
        <w:t>the Greater Indianapolis Chamber of Commerce, the Indy Black Chamber of Commerce, the Hispanic Business Council, the Indiana Asian Chamber of Commerce, the Asian Indian Chamber of Commerce, the Great Lakes Women</w:t>
      </w:r>
      <w:r w:rsidR="00564324" w:rsidRPr="00A2309B">
        <w:rPr>
          <w:rFonts w:ascii="Garamond" w:hAnsi="Garamond" w:cs="Calibri"/>
          <w:bCs/>
          <w:iCs/>
          <w:sz w:val="24"/>
          <w:szCs w:val="24"/>
        </w:rPr>
        <w:t>’s</w:t>
      </w:r>
      <w:r w:rsidR="00A338DE" w:rsidRPr="00A2309B">
        <w:rPr>
          <w:rFonts w:ascii="Garamond" w:hAnsi="Garamond" w:cs="Calibri"/>
          <w:bCs/>
          <w:iCs/>
          <w:sz w:val="24"/>
          <w:szCs w:val="24"/>
        </w:rPr>
        <w:t xml:space="preserve"> Business Council, the City of Indianapolis, the Indiana Department of Transportation, and any other relevant organization</w:t>
      </w:r>
      <w:r w:rsidR="00177171" w:rsidRPr="00A2309B">
        <w:rPr>
          <w:rFonts w:ascii="Garamond" w:hAnsi="Garamond" w:cs="Calibri"/>
          <w:bCs/>
          <w:iCs/>
          <w:sz w:val="24"/>
          <w:szCs w:val="24"/>
        </w:rPr>
        <w:t>)</w:t>
      </w:r>
      <w:r w:rsidRPr="00A2309B">
        <w:rPr>
          <w:rFonts w:ascii="Garamond" w:hAnsi="Garamond" w:cs="Calibri"/>
          <w:bCs/>
          <w:iCs/>
          <w:sz w:val="24"/>
          <w:szCs w:val="24"/>
        </w:rPr>
        <w:t xml:space="preserve"> basis as a starting point for total and M</w:t>
      </w:r>
      <w:r w:rsidR="00714AC7" w:rsidRPr="00A2309B">
        <w:rPr>
          <w:rFonts w:ascii="Garamond" w:hAnsi="Garamond" w:cs="Calibri"/>
          <w:bCs/>
          <w:iCs/>
          <w:sz w:val="24"/>
          <w:szCs w:val="24"/>
        </w:rPr>
        <w:t>BE</w:t>
      </w:r>
      <w:r w:rsidR="0018697D" w:rsidRPr="00A2309B">
        <w:rPr>
          <w:rFonts w:ascii="Garamond" w:hAnsi="Garamond" w:cs="Calibri"/>
          <w:bCs/>
          <w:iCs/>
          <w:sz w:val="24"/>
          <w:szCs w:val="24"/>
        </w:rPr>
        <w:t>/</w:t>
      </w:r>
      <w:r w:rsidRPr="00A2309B">
        <w:rPr>
          <w:rFonts w:ascii="Garamond" w:hAnsi="Garamond" w:cs="Calibri"/>
          <w:bCs/>
          <w:iCs/>
          <w:sz w:val="24"/>
          <w:szCs w:val="24"/>
        </w:rPr>
        <w:t>WBE availability</w:t>
      </w:r>
      <w:r w:rsidRPr="00A2309B">
        <w:rPr>
          <w:rFonts w:ascii="Garamond" w:hAnsi="Garamond" w:cs="Calibri"/>
          <w:bCs/>
          <w:iCs/>
          <w:color w:val="FF0000"/>
          <w:sz w:val="24"/>
          <w:szCs w:val="24"/>
        </w:rPr>
        <w:t xml:space="preserve"> </w:t>
      </w:r>
      <w:r w:rsidRPr="00A2309B">
        <w:rPr>
          <w:rFonts w:ascii="Garamond" w:hAnsi="Garamond" w:cs="Calibri"/>
          <w:bCs/>
          <w:iCs/>
          <w:sz w:val="24"/>
          <w:szCs w:val="24"/>
        </w:rPr>
        <w:t xml:space="preserve">as well as a survey of </w:t>
      </w:r>
      <w:r w:rsidR="00A2309B">
        <w:rPr>
          <w:rFonts w:ascii="Garamond" w:hAnsi="Garamond" w:cs="Calibri"/>
          <w:bCs/>
          <w:iCs/>
          <w:sz w:val="24"/>
          <w:szCs w:val="24"/>
        </w:rPr>
        <w:t xml:space="preserve">State </w:t>
      </w:r>
      <w:r w:rsidRPr="00A2309B">
        <w:rPr>
          <w:rFonts w:ascii="Garamond" w:hAnsi="Garamond" w:cs="Calibri"/>
          <w:bCs/>
          <w:iCs/>
          <w:sz w:val="24"/>
          <w:szCs w:val="24"/>
        </w:rPr>
        <w:t xml:space="preserve">registered bidders to assess the true availability according to </w:t>
      </w:r>
      <w:r w:rsidR="00431850" w:rsidRPr="00A2309B">
        <w:rPr>
          <w:rFonts w:ascii="Garamond" w:hAnsi="Garamond" w:cs="Calibri"/>
          <w:bCs/>
          <w:i/>
          <w:sz w:val="24"/>
          <w:szCs w:val="24"/>
        </w:rPr>
        <w:t>Richmond v. Croson</w:t>
      </w:r>
      <w:r w:rsidRPr="00A2309B">
        <w:rPr>
          <w:rFonts w:ascii="Garamond" w:hAnsi="Garamond" w:cs="Calibri"/>
          <w:bCs/>
          <w:sz w:val="24"/>
          <w:szCs w:val="24"/>
        </w:rPr>
        <w:t>,</w:t>
      </w:r>
      <w:r w:rsidR="00634330" w:rsidRPr="00A2309B">
        <w:rPr>
          <w:rFonts w:ascii="Garamond" w:hAnsi="Garamond" w:cs="Calibri"/>
          <w:bCs/>
          <w:sz w:val="24"/>
          <w:szCs w:val="24"/>
        </w:rPr>
        <w:t xml:space="preserve"> </w:t>
      </w:r>
      <w:r w:rsidRPr="00A2309B">
        <w:rPr>
          <w:rFonts w:ascii="Garamond" w:hAnsi="Garamond" w:cs="Calibri"/>
          <w:bCs/>
          <w:iCs/>
          <w:sz w:val="24"/>
          <w:szCs w:val="24"/>
        </w:rPr>
        <w:t xml:space="preserve">488 U.S. 469 (1989). </w:t>
      </w:r>
    </w:p>
    <w:p w14:paraId="72F5CDF8" w14:textId="77777777" w:rsidR="00A2309B" w:rsidRDefault="00A2309B" w:rsidP="00A2309B">
      <w:pPr>
        <w:pStyle w:val="ListParagraph"/>
        <w:rPr>
          <w:rFonts w:ascii="Garamond" w:hAnsi="Garamond" w:cs="Calibri"/>
          <w:bCs/>
          <w:iCs/>
          <w:szCs w:val="24"/>
        </w:rPr>
      </w:pPr>
    </w:p>
    <w:p w14:paraId="13437C92" w14:textId="166EE53F" w:rsidR="007C5850" w:rsidRPr="00B10812" w:rsidRDefault="007C5850" w:rsidP="00A03FD7">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 xml:space="preserve">Determine and evaluate the availability of MBE and WBE firms in the </w:t>
      </w:r>
      <w:r w:rsidR="00A2309B">
        <w:rPr>
          <w:rFonts w:ascii="Garamond" w:hAnsi="Garamond" w:cs="Calibri"/>
          <w:bCs/>
          <w:iCs/>
          <w:sz w:val="24"/>
          <w:szCs w:val="24"/>
        </w:rPr>
        <w:t>Lottery’s</w:t>
      </w:r>
      <w:r w:rsidRPr="00B10812">
        <w:rPr>
          <w:rFonts w:ascii="Garamond" w:hAnsi="Garamond" w:cs="Calibri"/>
          <w:bCs/>
          <w:iCs/>
          <w:sz w:val="24"/>
          <w:szCs w:val="24"/>
        </w:rPr>
        <w:t xml:space="preserve"> regional geographic area for the types of procurement/contracting opportunities and activities during the base </w:t>
      </w:r>
      <w:proofErr w:type="gramStart"/>
      <w:r w:rsidRPr="00B10812">
        <w:rPr>
          <w:rFonts w:ascii="Garamond" w:hAnsi="Garamond" w:cs="Calibri"/>
          <w:bCs/>
          <w:iCs/>
          <w:sz w:val="24"/>
          <w:szCs w:val="24"/>
        </w:rPr>
        <w:t>time period</w:t>
      </w:r>
      <w:proofErr w:type="gramEnd"/>
      <w:r w:rsidRPr="00B10812">
        <w:rPr>
          <w:rFonts w:ascii="Garamond" w:hAnsi="Garamond" w:cs="Calibri"/>
          <w:bCs/>
          <w:iCs/>
          <w:sz w:val="24"/>
          <w:szCs w:val="24"/>
        </w:rPr>
        <w:t xml:space="preserve"> of the evaluation to include the thirteen (13) metropolitan statistical areas (U.S. Bureau of the Census) within the State of Indiana and regional statistical areas. </w:t>
      </w:r>
    </w:p>
    <w:p w14:paraId="1F0E9C05" w14:textId="77777777" w:rsidR="005549E1" w:rsidRPr="00B10812" w:rsidRDefault="005549E1" w:rsidP="00A03FD7">
      <w:pPr>
        <w:pStyle w:val="BodyText3"/>
        <w:widowControl/>
        <w:tabs>
          <w:tab w:val="left" w:pos="360"/>
        </w:tabs>
        <w:spacing w:after="0"/>
        <w:ind w:left="720"/>
        <w:jc w:val="both"/>
        <w:rPr>
          <w:rFonts w:ascii="Garamond" w:hAnsi="Garamond" w:cs="Calibri"/>
          <w:bCs/>
          <w:iCs/>
          <w:sz w:val="24"/>
          <w:szCs w:val="24"/>
        </w:rPr>
      </w:pPr>
    </w:p>
    <w:p w14:paraId="0E844163" w14:textId="7080E8FD" w:rsidR="007C5850" w:rsidRPr="00B10812" w:rsidRDefault="007C5850" w:rsidP="00714AC7">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To assess/evaluate the size of the contractors and subcontractors on the util</w:t>
      </w:r>
      <w:r w:rsidR="00B6115D" w:rsidRPr="00B10812">
        <w:rPr>
          <w:rFonts w:ascii="Garamond" w:hAnsi="Garamond" w:cs="Calibri"/>
          <w:bCs/>
          <w:iCs/>
          <w:sz w:val="24"/>
          <w:szCs w:val="24"/>
        </w:rPr>
        <w:t>ization and availability of MBE</w:t>
      </w:r>
      <w:r w:rsidRPr="00B10812">
        <w:rPr>
          <w:rFonts w:ascii="Garamond" w:hAnsi="Garamond" w:cs="Calibri"/>
          <w:bCs/>
          <w:iCs/>
          <w:sz w:val="24"/>
          <w:szCs w:val="24"/>
        </w:rPr>
        <w:t xml:space="preserve">s and WBEs as prime contractors and subcontractors in </w:t>
      </w:r>
      <w:r w:rsidR="00714AC7" w:rsidRPr="00B10812">
        <w:rPr>
          <w:rFonts w:ascii="Garamond" w:hAnsi="Garamond" w:cs="Calibri"/>
          <w:bCs/>
          <w:iCs/>
          <w:sz w:val="24"/>
          <w:szCs w:val="24"/>
        </w:rPr>
        <w:t xml:space="preserve">construction, professional services, and goods and support services contracts </w:t>
      </w:r>
      <w:r w:rsidRPr="00B10812">
        <w:rPr>
          <w:rFonts w:ascii="Garamond" w:hAnsi="Garamond" w:cs="Calibri"/>
          <w:bCs/>
          <w:iCs/>
          <w:sz w:val="24"/>
          <w:szCs w:val="24"/>
        </w:rPr>
        <w:t xml:space="preserve">by </w:t>
      </w:r>
      <w:r w:rsidR="00A2309B">
        <w:rPr>
          <w:rFonts w:ascii="Garamond" w:hAnsi="Garamond" w:cs="Calibri"/>
          <w:bCs/>
          <w:iCs/>
          <w:sz w:val="24"/>
          <w:szCs w:val="24"/>
        </w:rPr>
        <w:t>the Lottery</w:t>
      </w:r>
      <w:r w:rsidR="002476D9" w:rsidRPr="00B10812">
        <w:rPr>
          <w:rFonts w:ascii="Garamond" w:hAnsi="Garamond" w:cs="Calibri"/>
          <w:bCs/>
          <w:iCs/>
          <w:sz w:val="24"/>
          <w:szCs w:val="24"/>
        </w:rPr>
        <w:t>.</w:t>
      </w:r>
    </w:p>
    <w:p w14:paraId="02CD3714" w14:textId="77777777" w:rsidR="007C5850" w:rsidRPr="00B10812" w:rsidRDefault="007C5850" w:rsidP="007C5850">
      <w:pPr>
        <w:pStyle w:val="BodyText3"/>
        <w:tabs>
          <w:tab w:val="left" w:pos="360"/>
        </w:tabs>
        <w:jc w:val="both"/>
        <w:rPr>
          <w:rFonts w:ascii="Garamond" w:hAnsi="Garamond" w:cs="Calibri"/>
          <w:bCs/>
          <w:iCs/>
          <w:sz w:val="24"/>
          <w:szCs w:val="24"/>
        </w:rPr>
      </w:pPr>
    </w:p>
    <w:p w14:paraId="15C6B204" w14:textId="46FF9CF3" w:rsidR="007C5850" w:rsidRPr="00B10812" w:rsidRDefault="007C5850" w:rsidP="008B5E44">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To a</w:t>
      </w:r>
      <w:r w:rsidR="00714AC7" w:rsidRPr="00B10812">
        <w:rPr>
          <w:rFonts w:ascii="Garamond" w:hAnsi="Garamond" w:cs="Calibri"/>
          <w:bCs/>
          <w:iCs/>
          <w:sz w:val="24"/>
          <w:szCs w:val="24"/>
        </w:rPr>
        <w:t>ss</w:t>
      </w:r>
      <w:r w:rsidRPr="00B10812">
        <w:rPr>
          <w:rFonts w:ascii="Garamond" w:hAnsi="Garamond" w:cs="Calibri"/>
          <w:bCs/>
          <w:iCs/>
          <w:sz w:val="24"/>
          <w:szCs w:val="24"/>
        </w:rPr>
        <w:t>ess/evaluate the extent of availability of MBEs</w:t>
      </w:r>
      <w:r w:rsidR="002E2F5F" w:rsidRPr="00B10812">
        <w:rPr>
          <w:rFonts w:ascii="Garamond" w:hAnsi="Garamond" w:cs="Calibri"/>
          <w:bCs/>
          <w:iCs/>
          <w:sz w:val="24"/>
          <w:szCs w:val="24"/>
        </w:rPr>
        <w:t xml:space="preserve"> </w:t>
      </w:r>
      <w:r w:rsidRPr="00B10812">
        <w:rPr>
          <w:rFonts w:ascii="Garamond" w:hAnsi="Garamond" w:cs="Calibri"/>
          <w:bCs/>
          <w:iCs/>
          <w:sz w:val="24"/>
          <w:szCs w:val="24"/>
        </w:rPr>
        <w:t xml:space="preserve">as prime contractors and subcontractors in </w:t>
      </w:r>
      <w:r w:rsidR="008B5E44" w:rsidRPr="00B10812">
        <w:rPr>
          <w:rFonts w:ascii="Garamond" w:hAnsi="Garamond" w:cs="Calibri"/>
          <w:bCs/>
          <w:iCs/>
          <w:sz w:val="24"/>
          <w:szCs w:val="24"/>
        </w:rPr>
        <w:t xml:space="preserve">construction, professional services, </w:t>
      </w:r>
      <w:r w:rsidR="00A2309B">
        <w:rPr>
          <w:rFonts w:ascii="Garamond" w:hAnsi="Garamond" w:cs="Calibri"/>
          <w:bCs/>
          <w:iCs/>
          <w:sz w:val="24"/>
          <w:szCs w:val="24"/>
        </w:rPr>
        <w:t>other services, and supplies</w:t>
      </w:r>
      <w:r w:rsidR="00A2309B" w:rsidRPr="00B10812">
        <w:rPr>
          <w:rFonts w:ascii="Garamond" w:hAnsi="Garamond" w:cs="Calibri"/>
          <w:bCs/>
          <w:iCs/>
          <w:sz w:val="24"/>
          <w:szCs w:val="24"/>
        </w:rPr>
        <w:t xml:space="preserve"> </w:t>
      </w:r>
      <w:r w:rsidRPr="00B10812">
        <w:rPr>
          <w:rFonts w:ascii="Garamond" w:hAnsi="Garamond" w:cs="Calibri"/>
          <w:bCs/>
          <w:iCs/>
          <w:sz w:val="24"/>
          <w:szCs w:val="24"/>
        </w:rPr>
        <w:t xml:space="preserve">by </w:t>
      </w:r>
      <w:r w:rsidR="00A2309B">
        <w:rPr>
          <w:rFonts w:ascii="Garamond" w:hAnsi="Garamond" w:cs="Calibri"/>
          <w:bCs/>
          <w:iCs/>
          <w:sz w:val="24"/>
          <w:szCs w:val="24"/>
        </w:rPr>
        <w:t>the Lottery</w:t>
      </w:r>
      <w:r w:rsidRPr="00B10812">
        <w:rPr>
          <w:rFonts w:ascii="Garamond" w:hAnsi="Garamond" w:cs="Calibri"/>
          <w:bCs/>
          <w:iCs/>
          <w:sz w:val="24"/>
          <w:szCs w:val="24"/>
        </w:rPr>
        <w:t>, by focusing on both overall MBE availability</w:t>
      </w:r>
      <w:r w:rsidR="001C705C" w:rsidRPr="00B10812">
        <w:rPr>
          <w:rFonts w:ascii="Garamond" w:hAnsi="Garamond" w:cs="Calibri"/>
          <w:bCs/>
          <w:iCs/>
          <w:sz w:val="24"/>
          <w:szCs w:val="24"/>
        </w:rPr>
        <w:t>,</w:t>
      </w:r>
      <w:r w:rsidRPr="00B10812">
        <w:rPr>
          <w:rFonts w:ascii="Garamond" w:hAnsi="Garamond" w:cs="Calibri"/>
          <w:bCs/>
          <w:iCs/>
          <w:sz w:val="24"/>
          <w:szCs w:val="24"/>
        </w:rPr>
        <w:t xml:space="preserve"> as well as individual eth</w:t>
      </w:r>
      <w:r w:rsidR="00787D44" w:rsidRPr="00B10812">
        <w:rPr>
          <w:rFonts w:ascii="Garamond" w:hAnsi="Garamond" w:cs="Calibri"/>
          <w:bCs/>
          <w:iCs/>
          <w:sz w:val="24"/>
          <w:szCs w:val="24"/>
        </w:rPr>
        <w:t>n</w:t>
      </w:r>
      <w:r w:rsidRPr="00B10812">
        <w:rPr>
          <w:rFonts w:ascii="Garamond" w:hAnsi="Garamond" w:cs="Calibri"/>
          <w:bCs/>
          <w:iCs/>
          <w:sz w:val="24"/>
          <w:szCs w:val="24"/>
        </w:rPr>
        <w:t>ic groups</w:t>
      </w:r>
      <w:r w:rsidR="001C705C" w:rsidRPr="00B10812">
        <w:rPr>
          <w:rFonts w:ascii="Garamond" w:hAnsi="Garamond" w:cs="Calibri"/>
          <w:bCs/>
          <w:iCs/>
          <w:sz w:val="24"/>
          <w:szCs w:val="24"/>
        </w:rPr>
        <w:t>,</w:t>
      </w:r>
      <w:r w:rsidRPr="00B10812">
        <w:rPr>
          <w:rFonts w:ascii="Garamond" w:hAnsi="Garamond" w:cs="Calibri"/>
          <w:bCs/>
          <w:iCs/>
          <w:sz w:val="24"/>
          <w:szCs w:val="24"/>
        </w:rPr>
        <w:t xml:space="preserve"> so that</w:t>
      </w:r>
      <w:r w:rsidR="00002E9E" w:rsidRPr="00B10812">
        <w:rPr>
          <w:rFonts w:ascii="Garamond" w:hAnsi="Garamond" w:cs="Calibri"/>
          <w:bCs/>
          <w:iCs/>
          <w:sz w:val="24"/>
          <w:szCs w:val="24"/>
        </w:rPr>
        <w:t xml:space="preserve"> the</w:t>
      </w:r>
      <w:r w:rsidRPr="00B10812">
        <w:rPr>
          <w:rFonts w:ascii="Garamond" w:hAnsi="Garamond" w:cs="Calibri"/>
          <w:bCs/>
          <w:iCs/>
          <w:sz w:val="24"/>
          <w:szCs w:val="24"/>
        </w:rPr>
        <w:t xml:space="preserve"> data is </w:t>
      </w:r>
      <w:proofErr w:type="gramStart"/>
      <w:r w:rsidRPr="00B10812">
        <w:rPr>
          <w:rFonts w:ascii="Garamond" w:hAnsi="Garamond" w:cs="Calibri"/>
          <w:bCs/>
          <w:iCs/>
          <w:sz w:val="24"/>
          <w:szCs w:val="24"/>
        </w:rPr>
        <w:t>compiled</w:t>
      </w:r>
      <w:proofErr w:type="gramEnd"/>
      <w:r w:rsidRPr="00B10812">
        <w:rPr>
          <w:rFonts w:ascii="Garamond" w:hAnsi="Garamond" w:cs="Calibri"/>
          <w:bCs/>
          <w:iCs/>
          <w:sz w:val="24"/>
          <w:szCs w:val="24"/>
        </w:rPr>
        <w:t xml:space="preserve"> and </w:t>
      </w:r>
      <w:r w:rsidR="00F02923" w:rsidRPr="00B10812">
        <w:rPr>
          <w:rFonts w:ascii="Garamond" w:hAnsi="Garamond" w:cs="Calibri"/>
          <w:bCs/>
          <w:iCs/>
          <w:sz w:val="24"/>
          <w:szCs w:val="24"/>
        </w:rPr>
        <w:t xml:space="preserve">a </w:t>
      </w:r>
      <w:r w:rsidRPr="00B10812">
        <w:rPr>
          <w:rFonts w:ascii="Garamond" w:hAnsi="Garamond" w:cs="Calibri"/>
          <w:bCs/>
          <w:iCs/>
          <w:sz w:val="24"/>
          <w:szCs w:val="24"/>
        </w:rPr>
        <w:t>disparity analys</w:t>
      </w:r>
      <w:r w:rsidR="00F02923" w:rsidRPr="00B10812">
        <w:rPr>
          <w:rFonts w:ascii="Garamond" w:hAnsi="Garamond" w:cs="Calibri"/>
          <w:bCs/>
          <w:iCs/>
          <w:sz w:val="24"/>
          <w:szCs w:val="24"/>
        </w:rPr>
        <w:t>i</w:t>
      </w:r>
      <w:r w:rsidRPr="00B10812">
        <w:rPr>
          <w:rFonts w:ascii="Garamond" w:hAnsi="Garamond" w:cs="Calibri"/>
          <w:bCs/>
          <w:iCs/>
          <w:sz w:val="24"/>
          <w:szCs w:val="24"/>
        </w:rPr>
        <w:t xml:space="preserve">s </w:t>
      </w:r>
      <w:r w:rsidR="00F02923" w:rsidRPr="00B10812">
        <w:rPr>
          <w:rFonts w:ascii="Garamond" w:hAnsi="Garamond" w:cs="Calibri"/>
          <w:bCs/>
          <w:iCs/>
          <w:sz w:val="24"/>
          <w:szCs w:val="24"/>
        </w:rPr>
        <w:t>is</w:t>
      </w:r>
      <w:r w:rsidRPr="00B10812">
        <w:rPr>
          <w:rFonts w:ascii="Garamond" w:hAnsi="Garamond" w:cs="Calibri"/>
          <w:bCs/>
          <w:iCs/>
          <w:sz w:val="24"/>
          <w:szCs w:val="24"/>
        </w:rPr>
        <w:t xml:space="preserve"> performed for each of the various groups. </w:t>
      </w:r>
    </w:p>
    <w:p w14:paraId="02A7FC55" w14:textId="77777777" w:rsidR="007C5850" w:rsidRPr="00B10812" w:rsidRDefault="007C5850" w:rsidP="007C5850">
      <w:pPr>
        <w:pStyle w:val="BodyText3"/>
        <w:tabs>
          <w:tab w:val="left" w:pos="360"/>
        </w:tabs>
        <w:jc w:val="both"/>
        <w:rPr>
          <w:rFonts w:ascii="Garamond" w:hAnsi="Garamond" w:cs="Calibri"/>
          <w:bCs/>
          <w:iCs/>
          <w:sz w:val="24"/>
          <w:szCs w:val="24"/>
        </w:rPr>
      </w:pPr>
    </w:p>
    <w:p w14:paraId="0187E7D4" w14:textId="31C73FDF" w:rsidR="00D5715B" w:rsidRDefault="007C5850" w:rsidP="00A03FD7">
      <w:pPr>
        <w:widowControl/>
        <w:numPr>
          <w:ilvl w:val="0"/>
          <w:numId w:val="1"/>
        </w:numPr>
        <w:tabs>
          <w:tab w:val="left" w:pos="360"/>
        </w:tabs>
        <w:jc w:val="both"/>
        <w:rPr>
          <w:rFonts w:ascii="Garamond" w:hAnsi="Garamond" w:cs="Calibri"/>
          <w:szCs w:val="24"/>
        </w:rPr>
      </w:pPr>
      <w:r w:rsidRPr="00B10812">
        <w:rPr>
          <w:rFonts w:ascii="Garamond" w:hAnsi="Garamond" w:cs="Calibri"/>
          <w:szCs w:val="24"/>
        </w:rPr>
        <w:t xml:space="preserve">Compare and evaluate the extent of </w:t>
      </w:r>
      <w:r w:rsidR="00A2309B">
        <w:rPr>
          <w:rFonts w:ascii="Garamond" w:hAnsi="Garamond" w:cs="Calibri"/>
          <w:szCs w:val="24"/>
        </w:rPr>
        <w:t>Lottery’s</w:t>
      </w:r>
      <w:r w:rsidRPr="00B10812">
        <w:rPr>
          <w:rFonts w:ascii="Garamond" w:hAnsi="Garamond" w:cs="Calibri"/>
          <w:szCs w:val="24"/>
        </w:rPr>
        <w:t xml:space="preserve"> policies on utilization in procurement and contracting opportunities based on the impact of the </w:t>
      </w:r>
      <w:r w:rsidR="00A2309B">
        <w:rPr>
          <w:rFonts w:ascii="Garamond" w:hAnsi="Garamond" w:cs="Calibri"/>
          <w:szCs w:val="24"/>
        </w:rPr>
        <w:t>Lottery’s</w:t>
      </w:r>
      <w:r w:rsidRPr="00B10812">
        <w:rPr>
          <w:rFonts w:ascii="Garamond" w:hAnsi="Garamond" w:cs="Calibri"/>
          <w:szCs w:val="24"/>
        </w:rPr>
        <w:t xml:space="preserve"> MBE and WBE policies and programs, and the impact outside of such MBE/WBE policies and programs.</w:t>
      </w:r>
      <w:r w:rsidR="003746DC" w:rsidRPr="00B10812">
        <w:rPr>
          <w:rFonts w:ascii="Garamond" w:hAnsi="Garamond" w:cs="Calibri"/>
          <w:szCs w:val="24"/>
        </w:rPr>
        <w:t xml:space="preserve"> </w:t>
      </w:r>
    </w:p>
    <w:p w14:paraId="55D5642B" w14:textId="77777777" w:rsidR="000766F9" w:rsidRPr="00B10812" w:rsidRDefault="000766F9" w:rsidP="000766F9">
      <w:pPr>
        <w:widowControl/>
        <w:tabs>
          <w:tab w:val="left" w:pos="360"/>
        </w:tabs>
        <w:ind w:left="720"/>
        <w:jc w:val="both"/>
        <w:rPr>
          <w:rFonts w:ascii="Garamond" w:hAnsi="Garamond" w:cs="Calibri"/>
          <w:szCs w:val="24"/>
        </w:rPr>
      </w:pPr>
    </w:p>
    <w:p w14:paraId="7670A047" w14:textId="4261A670" w:rsidR="005342FE" w:rsidRPr="00B10812" w:rsidRDefault="007C5850" w:rsidP="00A03FD7">
      <w:pPr>
        <w:widowControl/>
        <w:numPr>
          <w:ilvl w:val="0"/>
          <w:numId w:val="1"/>
        </w:numPr>
        <w:tabs>
          <w:tab w:val="left" w:pos="360"/>
          <w:tab w:val="left" w:pos="1152"/>
        </w:tabs>
        <w:jc w:val="both"/>
        <w:rPr>
          <w:rFonts w:ascii="Garamond" w:hAnsi="Garamond" w:cs="Calibri"/>
          <w:szCs w:val="24"/>
        </w:rPr>
      </w:pPr>
      <w:r w:rsidRPr="00B10812">
        <w:rPr>
          <w:rFonts w:ascii="Garamond" w:hAnsi="Garamond" w:cs="Calibri"/>
          <w:szCs w:val="24"/>
        </w:rPr>
        <w:t xml:space="preserve">Investigate and describe prevailing practices in the public and private sectors that could lead to an underutilization of WBE and MBE. If an underutilization is found to exist, document from statistical analysis, survey, anecdotal, and such other relevant and appropriate evidence the extent to which the current utilization of MBE and </w:t>
      </w:r>
      <w:r w:rsidRPr="00B10812">
        <w:rPr>
          <w:rFonts w:ascii="Garamond" w:hAnsi="Garamond" w:cs="Calibri"/>
          <w:szCs w:val="24"/>
        </w:rPr>
        <w:lastRenderedPageBreak/>
        <w:t xml:space="preserve">WBE is reflecting past discrimination (active and/or passive) on the part of the </w:t>
      </w:r>
      <w:r w:rsidR="00A2309B">
        <w:rPr>
          <w:rFonts w:ascii="Garamond" w:hAnsi="Garamond" w:cs="Calibri"/>
          <w:szCs w:val="24"/>
        </w:rPr>
        <w:t>Lottery</w:t>
      </w:r>
      <w:r w:rsidR="008B77EC" w:rsidRPr="00B10812">
        <w:rPr>
          <w:rFonts w:ascii="Garamond" w:hAnsi="Garamond" w:cs="Calibri"/>
          <w:szCs w:val="24"/>
        </w:rPr>
        <w:t xml:space="preserve">. </w:t>
      </w:r>
    </w:p>
    <w:p w14:paraId="59C1A8A5" w14:textId="77777777" w:rsidR="007C5850" w:rsidRPr="00B10812" w:rsidRDefault="007C5850" w:rsidP="00A03FD7">
      <w:pPr>
        <w:widowControl/>
        <w:tabs>
          <w:tab w:val="left" w:pos="360"/>
          <w:tab w:val="left" w:pos="1152"/>
        </w:tabs>
        <w:ind w:left="720"/>
        <w:jc w:val="both"/>
        <w:rPr>
          <w:rFonts w:ascii="Garamond" w:hAnsi="Garamond" w:cs="Calibri"/>
          <w:szCs w:val="24"/>
        </w:rPr>
      </w:pPr>
    </w:p>
    <w:p w14:paraId="756FAEA9" w14:textId="2129EE29" w:rsidR="00B4215A" w:rsidRPr="00B10812" w:rsidRDefault="007C5850" w:rsidP="007070EE">
      <w:pPr>
        <w:pStyle w:val="BodyText3"/>
        <w:numPr>
          <w:ilvl w:val="0"/>
          <w:numId w:val="1"/>
        </w:numPr>
        <w:tabs>
          <w:tab w:val="left" w:pos="2016"/>
        </w:tabs>
        <w:spacing w:after="0"/>
        <w:jc w:val="both"/>
        <w:rPr>
          <w:rFonts w:ascii="Garamond" w:hAnsi="Garamond" w:cs="Calibri"/>
          <w:sz w:val="24"/>
          <w:szCs w:val="24"/>
        </w:rPr>
      </w:pPr>
      <w:r w:rsidRPr="00B10812">
        <w:rPr>
          <w:rFonts w:ascii="Garamond" w:hAnsi="Garamond" w:cs="Calibri"/>
          <w:sz w:val="24"/>
          <w:szCs w:val="24"/>
        </w:rPr>
        <w:t xml:space="preserve">To examine, describe and analyze the effect of race and </w:t>
      </w:r>
      <w:r w:rsidR="00062827" w:rsidRPr="00B10812">
        <w:rPr>
          <w:rFonts w:ascii="Garamond" w:hAnsi="Garamond" w:cs="Calibri"/>
          <w:sz w:val="24"/>
          <w:szCs w:val="24"/>
        </w:rPr>
        <w:t>gender-neutral</w:t>
      </w:r>
      <w:r w:rsidRPr="00B10812">
        <w:rPr>
          <w:rFonts w:ascii="Garamond" w:hAnsi="Garamond" w:cs="Calibri"/>
          <w:sz w:val="24"/>
          <w:szCs w:val="24"/>
        </w:rPr>
        <w:t xml:space="preserve"> strategies, measures and programs used by the </w:t>
      </w:r>
      <w:r w:rsidR="00A2309B">
        <w:rPr>
          <w:rFonts w:ascii="Garamond" w:hAnsi="Garamond" w:cs="Calibri"/>
          <w:sz w:val="24"/>
          <w:szCs w:val="24"/>
        </w:rPr>
        <w:t>Lottery</w:t>
      </w:r>
      <w:r w:rsidR="00B4215A" w:rsidRPr="00B10812">
        <w:rPr>
          <w:rFonts w:ascii="Garamond" w:hAnsi="Garamond" w:cs="Calibri"/>
          <w:sz w:val="24"/>
          <w:szCs w:val="24"/>
        </w:rPr>
        <w:t>.</w:t>
      </w:r>
    </w:p>
    <w:p w14:paraId="014889FE" w14:textId="77777777" w:rsidR="00F6043D" w:rsidRPr="00B10812" w:rsidRDefault="00F6043D" w:rsidP="00A03FD7">
      <w:pPr>
        <w:pStyle w:val="ListParagraph"/>
        <w:rPr>
          <w:rFonts w:ascii="Garamond" w:hAnsi="Garamond" w:cs="Calibri"/>
          <w:bCs/>
          <w:iCs/>
          <w:szCs w:val="24"/>
        </w:rPr>
      </w:pPr>
    </w:p>
    <w:p w14:paraId="56E29470" w14:textId="6F853662" w:rsidR="00F6043D" w:rsidRPr="00B10812" w:rsidRDefault="00F6043D" w:rsidP="00A03FD7">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 xml:space="preserve">To assess/evaluate the extent of availability of WBEs as prime contractors and subcontractors in construction, professional services, </w:t>
      </w:r>
      <w:r w:rsidR="00A2309B">
        <w:rPr>
          <w:rFonts w:ascii="Garamond" w:hAnsi="Garamond" w:cs="Calibri"/>
          <w:bCs/>
          <w:iCs/>
          <w:sz w:val="24"/>
          <w:szCs w:val="24"/>
        </w:rPr>
        <w:t>other services, and supplies by the Lottery</w:t>
      </w:r>
      <w:r w:rsidRPr="00B10812">
        <w:rPr>
          <w:rFonts w:ascii="Garamond" w:hAnsi="Garamond" w:cs="Calibri"/>
          <w:bCs/>
          <w:iCs/>
          <w:sz w:val="24"/>
          <w:szCs w:val="24"/>
        </w:rPr>
        <w:t xml:space="preserve">, by focusing on both overall WBE availability, as well as individual ethnic groups, so that the data is </w:t>
      </w:r>
      <w:proofErr w:type="gramStart"/>
      <w:r w:rsidRPr="00B10812">
        <w:rPr>
          <w:rFonts w:ascii="Garamond" w:hAnsi="Garamond" w:cs="Calibri"/>
          <w:bCs/>
          <w:iCs/>
          <w:sz w:val="24"/>
          <w:szCs w:val="24"/>
        </w:rPr>
        <w:t>compiled</w:t>
      </w:r>
      <w:proofErr w:type="gramEnd"/>
      <w:r w:rsidRPr="00B10812">
        <w:rPr>
          <w:rFonts w:ascii="Garamond" w:hAnsi="Garamond" w:cs="Calibri"/>
          <w:bCs/>
          <w:iCs/>
          <w:sz w:val="24"/>
          <w:szCs w:val="24"/>
        </w:rPr>
        <w:t xml:space="preserve"> and a disparity analysis is performed for each of the various groups.</w:t>
      </w:r>
    </w:p>
    <w:p w14:paraId="4D656B3F" w14:textId="77777777" w:rsidR="00F6043D" w:rsidRPr="00B10812" w:rsidRDefault="00F6043D" w:rsidP="00A03FD7">
      <w:pPr>
        <w:pStyle w:val="ListParagraph"/>
        <w:rPr>
          <w:rFonts w:ascii="Garamond" w:hAnsi="Garamond" w:cs="Calibri"/>
          <w:bCs/>
          <w:iCs/>
          <w:szCs w:val="24"/>
        </w:rPr>
      </w:pPr>
    </w:p>
    <w:p w14:paraId="46D03E08" w14:textId="747A029E" w:rsidR="00F6043D" w:rsidRPr="00B10812" w:rsidRDefault="00F6043D" w:rsidP="00F6043D">
      <w:pPr>
        <w:pStyle w:val="BodyText3"/>
        <w:widowControl/>
        <w:numPr>
          <w:ilvl w:val="0"/>
          <w:numId w:val="1"/>
        </w:numPr>
        <w:tabs>
          <w:tab w:val="left" w:pos="360"/>
        </w:tabs>
        <w:spacing w:after="0"/>
        <w:jc w:val="both"/>
        <w:rPr>
          <w:rFonts w:ascii="Garamond" w:hAnsi="Garamond" w:cs="Calibri"/>
          <w:bCs/>
          <w:iCs/>
          <w:sz w:val="24"/>
          <w:szCs w:val="24"/>
        </w:rPr>
      </w:pPr>
      <w:r w:rsidRPr="00B10812">
        <w:rPr>
          <w:rFonts w:ascii="Garamond" w:hAnsi="Garamond" w:cs="Calibri"/>
          <w:bCs/>
          <w:iCs/>
          <w:sz w:val="24"/>
          <w:szCs w:val="24"/>
        </w:rPr>
        <w:t xml:space="preserve">To assess/evaluate the extent of availability of MBEs, that are also WBEs, as prime contractors and subcontractors in construction, professional services, </w:t>
      </w:r>
      <w:r w:rsidR="00A2309B">
        <w:rPr>
          <w:rFonts w:ascii="Garamond" w:hAnsi="Garamond" w:cs="Calibri"/>
          <w:bCs/>
          <w:iCs/>
          <w:sz w:val="24"/>
          <w:szCs w:val="24"/>
        </w:rPr>
        <w:t>other services, and supplies, by the Lottery</w:t>
      </w:r>
      <w:r w:rsidRPr="00B10812">
        <w:rPr>
          <w:rFonts w:ascii="Garamond" w:hAnsi="Garamond" w:cs="Calibri"/>
          <w:bCs/>
          <w:iCs/>
          <w:sz w:val="24"/>
          <w:szCs w:val="24"/>
        </w:rPr>
        <w:t xml:space="preserve">, by focusing on both overall MBEs, that are also WBEs, availability, as well as individual ethnic groups, so that the data is </w:t>
      </w:r>
      <w:proofErr w:type="gramStart"/>
      <w:r w:rsidRPr="00B10812">
        <w:rPr>
          <w:rFonts w:ascii="Garamond" w:hAnsi="Garamond" w:cs="Calibri"/>
          <w:bCs/>
          <w:iCs/>
          <w:sz w:val="24"/>
          <w:szCs w:val="24"/>
        </w:rPr>
        <w:t>compiled</w:t>
      </w:r>
      <w:proofErr w:type="gramEnd"/>
      <w:r w:rsidRPr="00B10812">
        <w:rPr>
          <w:rFonts w:ascii="Garamond" w:hAnsi="Garamond" w:cs="Calibri"/>
          <w:bCs/>
          <w:iCs/>
          <w:sz w:val="24"/>
          <w:szCs w:val="24"/>
        </w:rPr>
        <w:t xml:space="preserve"> and a disparity analysis is performed for each of the various groups. Evaluate and discuss the issues and methods to properly certify MBEs that are also WBEs, by ethnicity and track such utilization.</w:t>
      </w:r>
      <w:r w:rsidR="006B0812" w:rsidRPr="00B10812">
        <w:rPr>
          <w:rFonts w:ascii="Garamond" w:hAnsi="Garamond" w:cs="Calibri"/>
          <w:bCs/>
          <w:iCs/>
          <w:sz w:val="24"/>
          <w:szCs w:val="24"/>
        </w:rPr>
        <w:t xml:space="preserve"> Under Indiana procurement law a business can only be considered as one certification type for each unique contract.</w:t>
      </w:r>
    </w:p>
    <w:p w14:paraId="3DE89332" w14:textId="77777777" w:rsidR="00F6043D" w:rsidRPr="00B10812" w:rsidRDefault="00F6043D" w:rsidP="00A03FD7">
      <w:pPr>
        <w:pStyle w:val="BodyText3"/>
        <w:tabs>
          <w:tab w:val="left" w:pos="2016"/>
        </w:tabs>
        <w:spacing w:after="0"/>
        <w:ind w:left="720"/>
        <w:jc w:val="both"/>
        <w:rPr>
          <w:rFonts w:ascii="Garamond" w:hAnsi="Garamond" w:cs="Calibri"/>
          <w:bCs/>
          <w:iCs/>
          <w:sz w:val="24"/>
          <w:szCs w:val="24"/>
        </w:rPr>
      </w:pPr>
    </w:p>
    <w:p w14:paraId="1E63BA49" w14:textId="77777777" w:rsidR="007C5850" w:rsidRPr="00B10812" w:rsidRDefault="007C5850" w:rsidP="007C5850">
      <w:pPr>
        <w:tabs>
          <w:tab w:val="left" w:pos="360"/>
        </w:tabs>
        <w:jc w:val="both"/>
        <w:rPr>
          <w:rFonts w:ascii="Garamond" w:hAnsi="Garamond" w:cs="Calibri"/>
          <w:b/>
          <w:bCs/>
          <w:szCs w:val="24"/>
        </w:rPr>
      </w:pPr>
      <w:r w:rsidRPr="00B10812">
        <w:rPr>
          <w:rFonts w:ascii="Garamond" w:hAnsi="Garamond" w:cs="Calibri"/>
          <w:b/>
          <w:bCs/>
          <w:szCs w:val="24"/>
        </w:rPr>
        <w:t>Specific work to be performed shall include:</w:t>
      </w:r>
    </w:p>
    <w:p w14:paraId="72EE432E" w14:textId="77777777" w:rsidR="007C5850" w:rsidRPr="00B10812" w:rsidRDefault="007C5850" w:rsidP="007C5850">
      <w:pPr>
        <w:tabs>
          <w:tab w:val="left" w:pos="360"/>
        </w:tabs>
        <w:jc w:val="both"/>
        <w:rPr>
          <w:rFonts w:ascii="Garamond" w:hAnsi="Garamond" w:cs="Calibri"/>
          <w:szCs w:val="24"/>
        </w:rPr>
      </w:pPr>
    </w:p>
    <w:p w14:paraId="3994328C" w14:textId="13C1AD36" w:rsidR="00564D8E" w:rsidRDefault="007C5850" w:rsidP="00A03FD7">
      <w:pPr>
        <w:pStyle w:val="BodyText3"/>
        <w:numPr>
          <w:ilvl w:val="0"/>
          <w:numId w:val="3"/>
        </w:numPr>
        <w:tabs>
          <w:tab w:val="left" w:pos="360"/>
        </w:tabs>
        <w:jc w:val="both"/>
        <w:rPr>
          <w:rFonts w:ascii="Garamond" w:hAnsi="Garamond" w:cs="Calibri"/>
          <w:bCs/>
          <w:iCs/>
          <w:sz w:val="24"/>
          <w:szCs w:val="24"/>
        </w:rPr>
      </w:pPr>
      <w:r w:rsidRPr="00B10812">
        <w:rPr>
          <w:rFonts w:ascii="Garamond" w:hAnsi="Garamond" w:cs="Calibri"/>
          <w:bCs/>
          <w:iCs/>
          <w:sz w:val="24"/>
          <w:szCs w:val="24"/>
        </w:rPr>
        <w:t xml:space="preserve">Review and evaluate contracting and procurement policies and procedures of the </w:t>
      </w:r>
      <w:r w:rsidR="00A2309B">
        <w:rPr>
          <w:rFonts w:ascii="Garamond" w:hAnsi="Garamond" w:cs="Calibri"/>
          <w:bCs/>
          <w:iCs/>
          <w:sz w:val="24"/>
          <w:szCs w:val="24"/>
        </w:rPr>
        <w:t>Lottery</w:t>
      </w:r>
      <w:r w:rsidR="005342FE" w:rsidRPr="00B10812">
        <w:rPr>
          <w:rFonts w:ascii="Garamond" w:hAnsi="Garamond" w:cs="Calibri"/>
          <w:bCs/>
          <w:iCs/>
          <w:sz w:val="24"/>
          <w:szCs w:val="24"/>
        </w:rPr>
        <w:t xml:space="preserve"> </w:t>
      </w:r>
      <w:r w:rsidR="00B6115D" w:rsidRPr="00B10812">
        <w:rPr>
          <w:rFonts w:ascii="Garamond" w:hAnsi="Garamond" w:cs="Calibri"/>
          <w:bCs/>
          <w:iCs/>
          <w:sz w:val="24"/>
          <w:szCs w:val="24"/>
        </w:rPr>
        <w:t xml:space="preserve">including MBE, </w:t>
      </w:r>
      <w:r w:rsidRPr="00B10812">
        <w:rPr>
          <w:rFonts w:ascii="Garamond" w:hAnsi="Garamond" w:cs="Calibri"/>
          <w:bCs/>
          <w:iCs/>
          <w:sz w:val="24"/>
          <w:szCs w:val="24"/>
        </w:rPr>
        <w:t>WBE programs and race-neutral and gender-neutral programs.</w:t>
      </w:r>
    </w:p>
    <w:p w14:paraId="05640200" w14:textId="77777777" w:rsidR="006C379F" w:rsidRPr="006C379F" w:rsidRDefault="006C379F" w:rsidP="006C379F">
      <w:pPr>
        <w:pStyle w:val="BodyText3"/>
        <w:tabs>
          <w:tab w:val="left" w:pos="360"/>
        </w:tabs>
        <w:ind w:left="720"/>
        <w:jc w:val="both"/>
        <w:rPr>
          <w:rFonts w:ascii="Garamond" w:hAnsi="Garamond" w:cs="Calibri"/>
          <w:bCs/>
          <w:iCs/>
          <w:szCs w:val="24"/>
        </w:rPr>
      </w:pPr>
    </w:p>
    <w:p w14:paraId="68AD6502" w14:textId="1E3AA951" w:rsidR="007C5850" w:rsidRPr="00B10812" w:rsidRDefault="00052EB9" w:rsidP="00A03FD7">
      <w:pPr>
        <w:pStyle w:val="BodyText3"/>
        <w:numPr>
          <w:ilvl w:val="0"/>
          <w:numId w:val="3"/>
        </w:numPr>
        <w:tabs>
          <w:tab w:val="left" w:pos="360"/>
        </w:tabs>
        <w:jc w:val="both"/>
        <w:rPr>
          <w:rFonts w:ascii="Garamond" w:hAnsi="Garamond" w:cs="Calibri"/>
          <w:bCs/>
          <w:iCs/>
          <w:sz w:val="24"/>
          <w:szCs w:val="24"/>
        </w:rPr>
      </w:pPr>
      <w:r w:rsidRPr="00B10812">
        <w:rPr>
          <w:rFonts w:ascii="Garamond" w:hAnsi="Garamond" w:cs="Calibri"/>
          <w:bCs/>
          <w:iCs/>
          <w:sz w:val="24"/>
          <w:szCs w:val="24"/>
        </w:rPr>
        <w:t xml:space="preserve">Define </w:t>
      </w:r>
      <w:r w:rsidR="00533D35" w:rsidRPr="00B10812">
        <w:rPr>
          <w:rFonts w:ascii="Garamond" w:hAnsi="Garamond" w:cs="Calibri"/>
          <w:bCs/>
          <w:iCs/>
          <w:sz w:val="24"/>
          <w:szCs w:val="24"/>
        </w:rPr>
        <w:t xml:space="preserve">and categorize </w:t>
      </w:r>
      <w:r w:rsidRPr="00B10812">
        <w:rPr>
          <w:rFonts w:ascii="Garamond" w:hAnsi="Garamond" w:cs="Calibri"/>
          <w:bCs/>
          <w:iCs/>
          <w:sz w:val="24"/>
          <w:szCs w:val="24"/>
        </w:rPr>
        <w:t>ready, willing</w:t>
      </w:r>
      <w:r w:rsidR="00614FDB" w:rsidRPr="00B10812">
        <w:rPr>
          <w:rFonts w:ascii="Garamond" w:hAnsi="Garamond" w:cs="Calibri"/>
          <w:bCs/>
          <w:iCs/>
          <w:sz w:val="24"/>
          <w:szCs w:val="24"/>
        </w:rPr>
        <w:t>,</w:t>
      </w:r>
      <w:r w:rsidRPr="00B10812">
        <w:rPr>
          <w:rFonts w:ascii="Garamond" w:hAnsi="Garamond" w:cs="Calibri"/>
          <w:bCs/>
          <w:iCs/>
          <w:sz w:val="24"/>
          <w:szCs w:val="24"/>
        </w:rPr>
        <w:t xml:space="preserve"> and able M</w:t>
      </w:r>
      <w:r w:rsidR="00030030" w:rsidRPr="00B10812">
        <w:rPr>
          <w:rFonts w:ascii="Garamond" w:hAnsi="Garamond" w:cs="Calibri"/>
          <w:bCs/>
          <w:iCs/>
          <w:sz w:val="24"/>
          <w:szCs w:val="24"/>
        </w:rPr>
        <w:t>BE</w:t>
      </w:r>
      <w:r w:rsidRPr="00B10812">
        <w:rPr>
          <w:rFonts w:ascii="Garamond" w:hAnsi="Garamond" w:cs="Calibri"/>
          <w:bCs/>
          <w:iCs/>
          <w:sz w:val="24"/>
          <w:szCs w:val="24"/>
        </w:rPr>
        <w:t xml:space="preserve">/WBEs for each market sector as prime contractors and subcontractors in </w:t>
      </w:r>
      <w:r w:rsidR="00A10C15" w:rsidRPr="00B10812">
        <w:rPr>
          <w:rFonts w:ascii="Garamond" w:hAnsi="Garamond" w:cs="Calibri"/>
          <w:bCs/>
          <w:iCs/>
          <w:sz w:val="24"/>
          <w:szCs w:val="24"/>
        </w:rPr>
        <w:t>construction, professional services</w:t>
      </w:r>
      <w:r w:rsidR="00F6043D" w:rsidRPr="00B10812">
        <w:rPr>
          <w:rFonts w:ascii="Garamond" w:hAnsi="Garamond" w:cs="Calibri"/>
          <w:bCs/>
          <w:iCs/>
          <w:sz w:val="24"/>
          <w:szCs w:val="24"/>
        </w:rPr>
        <w:t xml:space="preserve">, </w:t>
      </w:r>
      <w:r w:rsidR="00A2309B">
        <w:rPr>
          <w:rFonts w:ascii="Garamond" w:hAnsi="Garamond" w:cs="Calibri"/>
          <w:bCs/>
          <w:iCs/>
          <w:sz w:val="24"/>
          <w:szCs w:val="24"/>
        </w:rPr>
        <w:t xml:space="preserve">other services, and supplies for regions </w:t>
      </w:r>
      <w:r w:rsidRPr="00B10812">
        <w:rPr>
          <w:rFonts w:ascii="Garamond" w:hAnsi="Garamond" w:cs="Calibri"/>
          <w:bCs/>
          <w:iCs/>
          <w:sz w:val="24"/>
          <w:szCs w:val="24"/>
        </w:rPr>
        <w:t>of the State.</w:t>
      </w:r>
      <w:r w:rsidR="0008150D">
        <w:rPr>
          <w:rFonts w:ascii="Garamond" w:hAnsi="Garamond" w:cs="Calibri"/>
          <w:bCs/>
          <w:iCs/>
          <w:sz w:val="24"/>
          <w:szCs w:val="24"/>
        </w:rPr>
        <w:t xml:space="preserve"> Define how the UNSPSC codes play a role in the vendor selection process. </w:t>
      </w:r>
    </w:p>
    <w:p w14:paraId="5F08E19B" w14:textId="77777777" w:rsidR="009F42A6" w:rsidRPr="00B10812" w:rsidRDefault="009F42A6" w:rsidP="00A03FD7">
      <w:pPr>
        <w:pStyle w:val="BodyText3"/>
        <w:rPr>
          <w:rFonts w:ascii="Garamond" w:hAnsi="Garamond" w:cs="Calibri"/>
          <w:szCs w:val="24"/>
        </w:rPr>
      </w:pPr>
    </w:p>
    <w:p w14:paraId="4C37B4AD" w14:textId="31FAE85A" w:rsidR="00614FDB" w:rsidRPr="00B10812" w:rsidRDefault="00071AC5" w:rsidP="00A03FD7">
      <w:pPr>
        <w:widowControl/>
        <w:numPr>
          <w:ilvl w:val="0"/>
          <w:numId w:val="3"/>
        </w:numPr>
        <w:tabs>
          <w:tab w:val="left" w:pos="360"/>
        </w:tabs>
        <w:jc w:val="both"/>
        <w:rPr>
          <w:rFonts w:ascii="Garamond" w:hAnsi="Garamond" w:cs="Calibri"/>
          <w:szCs w:val="24"/>
        </w:rPr>
      </w:pPr>
      <w:r w:rsidRPr="00B10812">
        <w:rPr>
          <w:rFonts w:ascii="Garamond" w:hAnsi="Garamond" w:cs="Calibri"/>
          <w:szCs w:val="24"/>
        </w:rPr>
        <w:t>Describe</w:t>
      </w:r>
      <w:r w:rsidR="00614FDB" w:rsidRPr="00B10812">
        <w:rPr>
          <w:rFonts w:ascii="Garamond" w:hAnsi="Garamond" w:cs="Calibri"/>
          <w:szCs w:val="24"/>
        </w:rPr>
        <w:t xml:space="preserve"> incentives</w:t>
      </w:r>
      <w:r w:rsidRPr="00B10812">
        <w:rPr>
          <w:rFonts w:ascii="Garamond" w:hAnsi="Garamond" w:cs="Calibri"/>
          <w:szCs w:val="24"/>
        </w:rPr>
        <w:t xml:space="preserve"> the </w:t>
      </w:r>
      <w:r w:rsidR="00A2309B">
        <w:rPr>
          <w:rFonts w:ascii="Garamond" w:hAnsi="Garamond" w:cs="Calibri"/>
          <w:szCs w:val="24"/>
        </w:rPr>
        <w:t>Lottery</w:t>
      </w:r>
      <w:r w:rsidR="00614FDB" w:rsidRPr="00B10812">
        <w:rPr>
          <w:rFonts w:ascii="Garamond" w:hAnsi="Garamond" w:cs="Calibri"/>
          <w:szCs w:val="24"/>
        </w:rPr>
        <w:t xml:space="preserve"> </w:t>
      </w:r>
      <w:r w:rsidRPr="00B10812">
        <w:rPr>
          <w:rFonts w:ascii="Garamond" w:hAnsi="Garamond" w:cs="Calibri"/>
          <w:szCs w:val="24"/>
        </w:rPr>
        <w:t xml:space="preserve">may use </w:t>
      </w:r>
      <w:r w:rsidR="00614FDB" w:rsidRPr="00B10812">
        <w:rPr>
          <w:rFonts w:ascii="Garamond" w:hAnsi="Garamond" w:cs="Calibri"/>
          <w:szCs w:val="24"/>
        </w:rPr>
        <w:t>to achieve</w:t>
      </w:r>
      <w:r w:rsidR="001C40B1" w:rsidRPr="00B10812">
        <w:rPr>
          <w:rFonts w:ascii="Garamond" w:hAnsi="Garamond" w:cs="Calibri"/>
          <w:szCs w:val="24"/>
        </w:rPr>
        <w:t xml:space="preserve"> MBE/WBE </w:t>
      </w:r>
      <w:r w:rsidR="00614FDB" w:rsidRPr="00B10812">
        <w:rPr>
          <w:rFonts w:ascii="Garamond" w:hAnsi="Garamond" w:cs="Calibri"/>
          <w:szCs w:val="24"/>
        </w:rPr>
        <w:t xml:space="preserve">utilization goals. </w:t>
      </w:r>
      <w:r w:rsidR="001C40B1" w:rsidRPr="00B10812">
        <w:rPr>
          <w:rFonts w:ascii="Garamond" w:hAnsi="Garamond" w:cs="Calibri"/>
          <w:szCs w:val="24"/>
        </w:rPr>
        <w:t xml:space="preserve">Explain if your company made similar recommendations to other states or similar organizations and how these incentives have been implemented. In addition, explain if implemented recommendations were successful and how.  </w:t>
      </w:r>
    </w:p>
    <w:p w14:paraId="101B3E65" w14:textId="77777777" w:rsidR="00614FDB" w:rsidRPr="00B10812" w:rsidRDefault="00614FDB" w:rsidP="00A03FD7">
      <w:pPr>
        <w:widowControl/>
        <w:tabs>
          <w:tab w:val="left" w:pos="360"/>
        </w:tabs>
        <w:ind w:left="720"/>
        <w:jc w:val="both"/>
        <w:rPr>
          <w:rFonts w:ascii="Garamond" w:hAnsi="Garamond" w:cs="Calibri"/>
          <w:szCs w:val="24"/>
        </w:rPr>
      </w:pPr>
    </w:p>
    <w:p w14:paraId="0035719A" w14:textId="77777777" w:rsidR="00C85BB2" w:rsidRPr="00B10812" w:rsidRDefault="00C85BB2" w:rsidP="00A03FD7">
      <w:pPr>
        <w:widowControl/>
        <w:numPr>
          <w:ilvl w:val="0"/>
          <w:numId w:val="3"/>
        </w:numPr>
        <w:tabs>
          <w:tab w:val="left" w:pos="360"/>
        </w:tabs>
        <w:jc w:val="both"/>
        <w:rPr>
          <w:rFonts w:ascii="Garamond" w:hAnsi="Garamond" w:cs="Calibri"/>
          <w:szCs w:val="24"/>
        </w:rPr>
      </w:pPr>
      <w:r w:rsidRPr="00B10812">
        <w:rPr>
          <w:rFonts w:ascii="Garamond" w:hAnsi="Garamond" w:cs="Calibri"/>
          <w:szCs w:val="24"/>
        </w:rPr>
        <w:t xml:space="preserve">For each region of the State and within the relevant market sector(s), develop a business demographics profile showing the number of </w:t>
      </w:r>
      <w:r w:rsidR="006C1DC1" w:rsidRPr="00B10812">
        <w:rPr>
          <w:rFonts w:ascii="Garamond" w:hAnsi="Garamond" w:cs="Calibri"/>
          <w:szCs w:val="24"/>
        </w:rPr>
        <w:t>ready, willing</w:t>
      </w:r>
      <w:r w:rsidR="00614FDB" w:rsidRPr="00B10812">
        <w:rPr>
          <w:rFonts w:ascii="Garamond" w:hAnsi="Garamond" w:cs="Calibri"/>
          <w:szCs w:val="24"/>
        </w:rPr>
        <w:t>,</w:t>
      </w:r>
      <w:r w:rsidR="006C1DC1" w:rsidRPr="00B10812">
        <w:rPr>
          <w:rFonts w:ascii="Garamond" w:hAnsi="Garamond" w:cs="Calibri"/>
          <w:szCs w:val="24"/>
        </w:rPr>
        <w:t xml:space="preserve"> and able</w:t>
      </w:r>
      <w:r w:rsidRPr="00B10812">
        <w:rPr>
          <w:rFonts w:ascii="Garamond" w:hAnsi="Garamond" w:cs="Calibri"/>
          <w:szCs w:val="24"/>
        </w:rPr>
        <w:t xml:space="preserve"> firms owned by non-minorities, women, minorities (broken down by minority group), non-minority women and minority (broken down by minority group) women, with the percentage of the total number of firms that each group represents.</w:t>
      </w:r>
    </w:p>
    <w:p w14:paraId="1D53CA4F" w14:textId="77777777" w:rsidR="001D3D18" w:rsidRPr="00B10812" w:rsidRDefault="001D3D18" w:rsidP="00A03FD7">
      <w:pPr>
        <w:widowControl/>
        <w:tabs>
          <w:tab w:val="left" w:pos="360"/>
        </w:tabs>
        <w:ind w:left="720"/>
        <w:jc w:val="both"/>
        <w:rPr>
          <w:rFonts w:ascii="Garamond" w:hAnsi="Garamond" w:cs="Calibri"/>
          <w:szCs w:val="24"/>
        </w:rPr>
      </w:pPr>
    </w:p>
    <w:p w14:paraId="3284F65E" w14:textId="2CEF0291" w:rsidR="001D3D18" w:rsidRPr="00B10812" w:rsidRDefault="00133D2B" w:rsidP="00A03FD7">
      <w:pPr>
        <w:widowControl/>
        <w:numPr>
          <w:ilvl w:val="0"/>
          <w:numId w:val="3"/>
        </w:numPr>
        <w:tabs>
          <w:tab w:val="left" w:pos="360"/>
        </w:tabs>
        <w:jc w:val="both"/>
        <w:rPr>
          <w:rFonts w:ascii="Garamond" w:hAnsi="Garamond" w:cs="Calibri"/>
          <w:szCs w:val="24"/>
        </w:rPr>
      </w:pPr>
      <w:r w:rsidRPr="00B10812">
        <w:rPr>
          <w:rFonts w:ascii="Garamond" w:hAnsi="Garamond" w:cs="Calibri"/>
          <w:szCs w:val="24"/>
        </w:rPr>
        <w:t>Determine</w:t>
      </w:r>
      <w:r w:rsidR="001D3D18" w:rsidRPr="00B10812">
        <w:rPr>
          <w:rFonts w:ascii="Garamond" w:hAnsi="Garamond" w:cs="Calibri"/>
          <w:szCs w:val="24"/>
        </w:rPr>
        <w:t xml:space="preserve"> the extent to which any identified disparities in the utilization of available M/WBEs by the </w:t>
      </w:r>
      <w:r w:rsidR="00A2309B">
        <w:rPr>
          <w:rFonts w:ascii="Garamond" w:hAnsi="Garamond" w:cs="Calibri"/>
          <w:szCs w:val="24"/>
        </w:rPr>
        <w:t>Lottery</w:t>
      </w:r>
      <w:r w:rsidR="001D3D18" w:rsidRPr="00B10812">
        <w:rPr>
          <w:rFonts w:ascii="Garamond" w:hAnsi="Garamond" w:cs="Calibri"/>
          <w:szCs w:val="24"/>
        </w:rPr>
        <w:t xml:space="preserve"> are attributable to discrimination.</w:t>
      </w:r>
    </w:p>
    <w:p w14:paraId="31EC48D2" w14:textId="77777777" w:rsidR="007C5850" w:rsidRPr="00B10812" w:rsidRDefault="007C5850" w:rsidP="00A03FD7">
      <w:pPr>
        <w:tabs>
          <w:tab w:val="left" w:pos="360"/>
        </w:tabs>
        <w:ind w:firstLine="360"/>
        <w:jc w:val="both"/>
        <w:rPr>
          <w:rFonts w:ascii="Garamond" w:hAnsi="Garamond" w:cs="Calibri"/>
          <w:szCs w:val="24"/>
        </w:rPr>
      </w:pPr>
    </w:p>
    <w:p w14:paraId="50B25D81" w14:textId="7A5B7DDB" w:rsidR="007C5850" w:rsidRPr="00B10812" w:rsidRDefault="007C5850" w:rsidP="00A03FD7">
      <w:pPr>
        <w:pStyle w:val="BodyText3"/>
        <w:numPr>
          <w:ilvl w:val="0"/>
          <w:numId w:val="3"/>
        </w:numPr>
        <w:tabs>
          <w:tab w:val="left" w:pos="360"/>
        </w:tabs>
        <w:jc w:val="both"/>
        <w:rPr>
          <w:rFonts w:ascii="Garamond" w:hAnsi="Garamond" w:cs="Calibri"/>
          <w:bCs/>
          <w:iCs/>
          <w:sz w:val="24"/>
          <w:szCs w:val="24"/>
        </w:rPr>
      </w:pPr>
      <w:r w:rsidRPr="00B10812">
        <w:rPr>
          <w:rFonts w:ascii="Garamond" w:hAnsi="Garamond" w:cs="Calibri"/>
          <w:bCs/>
          <w:iCs/>
          <w:sz w:val="24"/>
          <w:szCs w:val="24"/>
        </w:rPr>
        <w:lastRenderedPageBreak/>
        <w:t xml:space="preserve">Provide the </w:t>
      </w:r>
      <w:r w:rsidR="00A2309B">
        <w:rPr>
          <w:rFonts w:ascii="Garamond" w:hAnsi="Garamond" w:cs="Calibri"/>
          <w:bCs/>
          <w:iCs/>
          <w:sz w:val="24"/>
          <w:szCs w:val="24"/>
        </w:rPr>
        <w:t>Lottery</w:t>
      </w:r>
      <w:r w:rsidRPr="00B10812">
        <w:rPr>
          <w:rFonts w:ascii="Garamond" w:hAnsi="Garamond" w:cs="Calibri"/>
          <w:bCs/>
          <w:iCs/>
          <w:sz w:val="24"/>
          <w:szCs w:val="24"/>
        </w:rPr>
        <w:t xml:space="preserve"> with summary findings and key decision points during the process to assure that the requirements of the </w:t>
      </w:r>
      <w:r w:rsidRPr="00B10812">
        <w:rPr>
          <w:rFonts w:ascii="Garamond" w:hAnsi="Garamond" w:cs="Calibri"/>
          <w:bCs/>
          <w:iCs/>
          <w:spacing w:val="4"/>
          <w:sz w:val="24"/>
          <w:szCs w:val="24"/>
        </w:rPr>
        <w:t xml:space="preserve">study </w:t>
      </w:r>
      <w:r w:rsidRPr="00B10812">
        <w:rPr>
          <w:rFonts w:ascii="Garamond" w:hAnsi="Garamond" w:cs="Calibri"/>
          <w:bCs/>
          <w:iCs/>
          <w:sz w:val="24"/>
          <w:szCs w:val="24"/>
        </w:rPr>
        <w:t xml:space="preserve">are being met. Key findings and progress reports will also ensure that the </w:t>
      </w:r>
      <w:r w:rsidR="00A2309B">
        <w:rPr>
          <w:rFonts w:ascii="Garamond" w:hAnsi="Garamond" w:cs="Calibri"/>
          <w:bCs/>
          <w:iCs/>
          <w:sz w:val="24"/>
          <w:szCs w:val="24"/>
        </w:rPr>
        <w:t>Lottery</w:t>
      </w:r>
      <w:r w:rsidRPr="00B10812">
        <w:rPr>
          <w:rFonts w:ascii="Garamond" w:hAnsi="Garamond" w:cs="Calibri"/>
          <w:bCs/>
          <w:iCs/>
          <w:sz w:val="24"/>
          <w:szCs w:val="24"/>
        </w:rPr>
        <w:t xml:space="preserve"> receive timely information of any consequential conclusions or problem areas that may need to be addressed, including any adjustment to the scope of work that may be necessary.</w:t>
      </w:r>
    </w:p>
    <w:p w14:paraId="65BA0710" w14:textId="77777777" w:rsidR="007C5850" w:rsidRPr="00B10812" w:rsidRDefault="007C5850" w:rsidP="007C5850">
      <w:pPr>
        <w:tabs>
          <w:tab w:val="left" w:pos="360"/>
        </w:tabs>
        <w:jc w:val="both"/>
        <w:rPr>
          <w:rFonts w:ascii="Garamond" w:hAnsi="Garamond" w:cs="Calibri"/>
          <w:bCs/>
          <w:szCs w:val="24"/>
        </w:rPr>
      </w:pPr>
    </w:p>
    <w:p w14:paraId="2CADCB8D" w14:textId="77777777" w:rsidR="00614FDB" w:rsidRPr="00B10812" w:rsidRDefault="007C5850" w:rsidP="007C5850">
      <w:pPr>
        <w:tabs>
          <w:tab w:val="left" w:pos="360"/>
        </w:tabs>
        <w:jc w:val="both"/>
        <w:rPr>
          <w:rFonts w:ascii="Garamond" w:hAnsi="Garamond" w:cs="Calibri"/>
          <w:b/>
          <w:bCs/>
          <w:szCs w:val="24"/>
        </w:rPr>
      </w:pPr>
      <w:r w:rsidRPr="00B10812">
        <w:rPr>
          <w:rFonts w:ascii="Garamond" w:hAnsi="Garamond" w:cs="Calibri"/>
          <w:b/>
          <w:bCs/>
          <w:szCs w:val="24"/>
        </w:rPr>
        <w:t xml:space="preserve">Expected Products  </w:t>
      </w:r>
    </w:p>
    <w:p w14:paraId="2266B8CA" w14:textId="77777777" w:rsidR="00614FDB" w:rsidRPr="00B10812" w:rsidRDefault="00614FDB" w:rsidP="007C5850">
      <w:pPr>
        <w:tabs>
          <w:tab w:val="left" w:pos="360"/>
        </w:tabs>
        <w:jc w:val="both"/>
        <w:rPr>
          <w:rFonts w:ascii="Garamond" w:hAnsi="Garamond" w:cs="Calibri"/>
          <w:b/>
          <w:bCs/>
          <w:szCs w:val="24"/>
        </w:rPr>
      </w:pPr>
    </w:p>
    <w:p w14:paraId="59CBEBAE" w14:textId="77777777" w:rsidR="007C5850" w:rsidRPr="00B10812" w:rsidRDefault="007C5850" w:rsidP="007C5850">
      <w:pPr>
        <w:tabs>
          <w:tab w:val="left" w:pos="360"/>
        </w:tabs>
        <w:jc w:val="both"/>
        <w:rPr>
          <w:rFonts w:ascii="Garamond" w:hAnsi="Garamond" w:cs="Calibri"/>
          <w:b/>
          <w:bCs/>
          <w:szCs w:val="24"/>
        </w:rPr>
      </w:pPr>
      <w:r w:rsidRPr="00B10812">
        <w:rPr>
          <w:rFonts w:ascii="Garamond" w:hAnsi="Garamond" w:cs="Calibri"/>
          <w:b/>
          <w:bCs/>
          <w:szCs w:val="24"/>
        </w:rPr>
        <w:t>The Vendor shall produce the following products:</w:t>
      </w:r>
    </w:p>
    <w:p w14:paraId="7F1D6B4B" w14:textId="77777777" w:rsidR="007C5850" w:rsidRPr="00B10812" w:rsidRDefault="007C5850" w:rsidP="007C5850">
      <w:pPr>
        <w:tabs>
          <w:tab w:val="left" w:pos="360"/>
        </w:tabs>
        <w:jc w:val="both"/>
        <w:rPr>
          <w:rFonts w:ascii="Garamond" w:hAnsi="Garamond" w:cs="Calibri"/>
          <w:szCs w:val="24"/>
        </w:rPr>
      </w:pPr>
    </w:p>
    <w:p w14:paraId="26AA0A78" w14:textId="1BA68DED" w:rsidR="00226083" w:rsidRDefault="00B417D0" w:rsidP="00A03FD7">
      <w:pPr>
        <w:tabs>
          <w:tab w:val="left" w:pos="360"/>
        </w:tabs>
        <w:ind w:left="720" w:hanging="720"/>
        <w:jc w:val="both"/>
        <w:rPr>
          <w:rFonts w:ascii="Garamond" w:hAnsi="Garamond" w:cs="Calibri"/>
          <w:szCs w:val="24"/>
        </w:rPr>
      </w:pPr>
      <w:r w:rsidRPr="00B10812">
        <w:rPr>
          <w:rFonts w:ascii="Garamond" w:hAnsi="Garamond" w:cs="Calibri"/>
          <w:szCs w:val="24"/>
        </w:rPr>
        <w:tab/>
      </w:r>
      <w:r w:rsidR="007C5850" w:rsidRPr="00B10812">
        <w:rPr>
          <w:rFonts w:ascii="Garamond" w:hAnsi="Garamond" w:cs="Calibri"/>
          <w:szCs w:val="24"/>
        </w:rPr>
        <w:t xml:space="preserve">1. </w:t>
      </w:r>
      <w:r w:rsidR="007C5850" w:rsidRPr="00B10812">
        <w:rPr>
          <w:rFonts w:ascii="Garamond" w:hAnsi="Garamond" w:cs="Calibri"/>
          <w:szCs w:val="24"/>
        </w:rPr>
        <w:tab/>
      </w:r>
      <w:r w:rsidR="00B26CB3">
        <w:rPr>
          <w:rFonts w:ascii="Garamond" w:hAnsi="Garamond" w:cs="Calibri"/>
          <w:szCs w:val="24"/>
        </w:rPr>
        <w:t>Timeline of the Study and m</w:t>
      </w:r>
      <w:r w:rsidR="007C5850" w:rsidRPr="00B10812">
        <w:rPr>
          <w:rFonts w:ascii="Garamond" w:hAnsi="Garamond" w:cs="Calibri"/>
          <w:szCs w:val="24"/>
        </w:rPr>
        <w:t>onthly progress report</w:t>
      </w:r>
      <w:r w:rsidR="00B26CB3">
        <w:rPr>
          <w:rFonts w:ascii="Garamond" w:hAnsi="Garamond" w:cs="Calibri"/>
          <w:szCs w:val="24"/>
        </w:rPr>
        <w:t>s</w:t>
      </w:r>
      <w:r w:rsidR="007C5850" w:rsidRPr="00B10812">
        <w:rPr>
          <w:rFonts w:ascii="Garamond" w:hAnsi="Garamond" w:cs="Calibri"/>
          <w:szCs w:val="24"/>
        </w:rPr>
        <w:t>.</w:t>
      </w:r>
      <w:r w:rsidR="00B26CB3">
        <w:rPr>
          <w:rFonts w:ascii="Garamond" w:hAnsi="Garamond" w:cs="Calibri"/>
          <w:szCs w:val="24"/>
        </w:rPr>
        <w:t xml:space="preserve"> The Vendor shall provide the timeline of the Study and the progress reports </w:t>
      </w:r>
      <w:proofErr w:type="gramStart"/>
      <w:r w:rsidR="00B26CB3">
        <w:rPr>
          <w:rFonts w:ascii="Garamond" w:hAnsi="Garamond" w:cs="Calibri"/>
          <w:szCs w:val="24"/>
        </w:rPr>
        <w:t>on</w:t>
      </w:r>
      <w:r w:rsidR="007C5850" w:rsidRPr="00B10812">
        <w:rPr>
          <w:rFonts w:ascii="Garamond" w:hAnsi="Garamond" w:cs="Calibri"/>
          <w:szCs w:val="24"/>
        </w:rPr>
        <w:t xml:space="preserve"> a monthly basis</w:t>
      </w:r>
      <w:proofErr w:type="gramEnd"/>
      <w:r w:rsidR="007C5850" w:rsidRPr="00B10812">
        <w:rPr>
          <w:rFonts w:ascii="Garamond" w:hAnsi="Garamond" w:cs="Calibri"/>
          <w:szCs w:val="24"/>
        </w:rPr>
        <w:t xml:space="preserve">, the Vendor shall provide </w:t>
      </w:r>
      <w:r w:rsidR="00A2309B">
        <w:rPr>
          <w:rFonts w:ascii="Garamond" w:hAnsi="Garamond" w:cs="Calibri"/>
          <w:szCs w:val="24"/>
        </w:rPr>
        <w:t>Lottery</w:t>
      </w:r>
      <w:r w:rsidR="007C5850" w:rsidRPr="00B10812">
        <w:rPr>
          <w:rFonts w:ascii="Garamond" w:hAnsi="Garamond" w:cs="Calibri"/>
          <w:szCs w:val="24"/>
        </w:rPr>
        <w:t xml:space="preserve"> with a written report of the progress it has made toward completing its work plan. </w:t>
      </w:r>
      <w:r w:rsidR="00A2309B">
        <w:rPr>
          <w:rFonts w:ascii="Garamond" w:hAnsi="Garamond" w:cs="Calibri"/>
          <w:szCs w:val="24"/>
        </w:rPr>
        <w:t>Lottery</w:t>
      </w:r>
      <w:r w:rsidR="007C5850" w:rsidRPr="00B10812">
        <w:rPr>
          <w:rFonts w:ascii="Garamond" w:hAnsi="Garamond" w:cs="Calibri"/>
          <w:szCs w:val="24"/>
        </w:rPr>
        <w:t xml:space="preserve"> may require supporting documentation to verify progress.</w:t>
      </w:r>
    </w:p>
    <w:p w14:paraId="6460588F" w14:textId="77777777" w:rsidR="00226083" w:rsidRPr="00B10812" w:rsidRDefault="00226083" w:rsidP="007C5850">
      <w:pPr>
        <w:tabs>
          <w:tab w:val="left" w:pos="360"/>
        </w:tabs>
        <w:ind w:left="360" w:hanging="360"/>
        <w:jc w:val="both"/>
        <w:rPr>
          <w:rFonts w:ascii="Garamond" w:hAnsi="Garamond" w:cs="Calibri"/>
          <w:szCs w:val="24"/>
        </w:rPr>
      </w:pPr>
    </w:p>
    <w:p w14:paraId="5F326447" w14:textId="77777777" w:rsidR="00133D2B" w:rsidRPr="00B10812" w:rsidRDefault="00B417D0" w:rsidP="00A03FD7">
      <w:pPr>
        <w:tabs>
          <w:tab w:val="left" w:pos="360"/>
        </w:tabs>
        <w:ind w:left="720" w:hanging="720"/>
        <w:jc w:val="both"/>
        <w:rPr>
          <w:rFonts w:ascii="Garamond" w:hAnsi="Garamond" w:cs="Calibri"/>
          <w:szCs w:val="24"/>
        </w:rPr>
      </w:pPr>
      <w:r w:rsidRPr="00B10812">
        <w:rPr>
          <w:rFonts w:ascii="Garamond" w:hAnsi="Garamond" w:cs="Calibri"/>
          <w:szCs w:val="24"/>
        </w:rPr>
        <w:tab/>
      </w:r>
      <w:r w:rsidR="007C5850" w:rsidRPr="00B10812">
        <w:rPr>
          <w:rFonts w:ascii="Garamond" w:hAnsi="Garamond"/>
        </w:rPr>
        <w:t>2.</w:t>
      </w:r>
      <w:r w:rsidR="007C5850" w:rsidRPr="00B10812">
        <w:rPr>
          <w:rFonts w:ascii="Garamond" w:hAnsi="Garamond"/>
        </w:rPr>
        <w:tab/>
      </w:r>
      <w:r w:rsidR="007C5850" w:rsidRPr="00B10812">
        <w:rPr>
          <w:rFonts w:ascii="Garamond" w:hAnsi="Garamond" w:cs="Calibri"/>
          <w:szCs w:val="24"/>
        </w:rPr>
        <w:t>Formal written report of evaluation and studies prepared consistently with the terms of this Scope of Services. The Vendor shall produce a formal written report of its evaluation and studies covering all tasks in this Scope of Work.</w:t>
      </w:r>
      <w:r w:rsidR="00952FC9" w:rsidRPr="00B10812">
        <w:rPr>
          <w:rFonts w:ascii="Garamond" w:hAnsi="Garamond" w:cs="Calibri"/>
          <w:szCs w:val="24"/>
        </w:rPr>
        <w:t xml:space="preserve"> </w:t>
      </w:r>
      <w:r w:rsidR="007C5850" w:rsidRPr="00B10812">
        <w:rPr>
          <w:rFonts w:ascii="Garamond" w:hAnsi="Garamond" w:cs="Calibri"/>
          <w:szCs w:val="24"/>
        </w:rPr>
        <w:t xml:space="preserve">The report shall explain Vendor's methodology and approach to the conduct of the evaluation and studies in addition to presenting its findings, conclusions, and recommendations. </w:t>
      </w:r>
    </w:p>
    <w:p w14:paraId="2B3DDB13" w14:textId="77777777" w:rsidR="00982D0D" w:rsidRPr="00B10812" w:rsidRDefault="00982D0D" w:rsidP="00A03FD7">
      <w:pPr>
        <w:tabs>
          <w:tab w:val="left" w:pos="360"/>
        </w:tabs>
        <w:ind w:left="720" w:hanging="720"/>
        <w:jc w:val="both"/>
        <w:rPr>
          <w:rFonts w:ascii="Garamond" w:hAnsi="Garamond" w:cs="Calibri"/>
          <w:szCs w:val="24"/>
        </w:rPr>
      </w:pPr>
    </w:p>
    <w:p w14:paraId="7F0A353A" w14:textId="75C9E8B3" w:rsidR="00982D0D" w:rsidRPr="00B10812" w:rsidRDefault="00982D0D" w:rsidP="00A03FD7">
      <w:pPr>
        <w:tabs>
          <w:tab w:val="left" w:pos="360"/>
        </w:tabs>
        <w:ind w:left="720" w:hanging="720"/>
        <w:jc w:val="both"/>
        <w:rPr>
          <w:rFonts w:ascii="Garamond" w:hAnsi="Garamond" w:cs="Calibri"/>
          <w:szCs w:val="24"/>
        </w:rPr>
      </w:pPr>
      <w:r w:rsidRPr="00B10812">
        <w:rPr>
          <w:rFonts w:ascii="Garamond" w:hAnsi="Garamond" w:cs="Calibri"/>
          <w:szCs w:val="24"/>
        </w:rPr>
        <w:tab/>
        <w:t xml:space="preserve">3. </w:t>
      </w:r>
      <w:r w:rsidRPr="00B10812">
        <w:rPr>
          <w:rFonts w:ascii="Garamond" w:hAnsi="Garamond" w:cs="Calibri"/>
          <w:szCs w:val="24"/>
        </w:rPr>
        <w:tab/>
        <w:t xml:space="preserve">A formal written report should contain the recommendations and formula to help establish a new </w:t>
      </w:r>
      <w:r w:rsidR="00D100E6" w:rsidRPr="00B10812">
        <w:rPr>
          <w:rFonts w:ascii="Garamond" w:hAnsi="Garamond" w:cs="Calibri"/>
          <w:szCs w:val="24"/>
        </w:rPr>
        <w:t>five-year</w:t>
      </w:r>
      <w:r w:rsidRPr="00B10812">
        <w:rPr>
          <w:rFonts w:ascii="Garamond" w:hAnsi="Garamond" w:cs="Calibri"/>
          <w:szCs w:val="24"/>
        </w:rPr>
        <w:t xml:space="preserve"> goal for </w:t>
      </w:r>
      <w:r w:rsidR="006E6314" w:rsidRPr="00B10812">
        <w:rPr>
          <w:rFonts w:ascii="Garamond" w:hAnsi="Garamond" w:cs="Calibri"/>
          <w:szCs w:val="24"/>
        </w:rPr>
        <w:t xml:space="preserve">the </w:t>
      </w:r>
      <w:r w:rsidRPr="00B10812">
        <w:rPr>
          <w:rFonts w:ascii="Garamond" w:hAnsi="Garamond" w:cs="Calibri"/>
          <w:szCs w:val="24"/>
        </w:rPr>
        <w:t xml:space="preserve">MBE and WBE participation </w:t>
      </w:r>
      <w:r w:rsidR="001B397D" w:rsidRPr="00B10812">
        <w:rPr>
          <w:rFonts w:ascii="Garamond" w:hAnsi="Garamond" w:cs="Calibri"/>
          <w:bCs/>
          <w:iCs/>
          <w:szCs w:val="24"/>
        </w:rPr>
        <w:t xml:space="preserve">in the procurement of </w:t>
      </w:r>
      <w:r w:rsidR="006B0812" w:rsidRPr="00B10812">
        <w:rPr>
          <w:rFonts w:ascii="Garamond" w:hAnsi="Garamond" w:cs="Calibri"/>
          <w:bCs/>
          <w:iCs/>
          <w:szCs w:val="24"/>
        </w:rPr>
        <w:t xml:space="preserve">construction, professional services, </w:t>
      </w:r>
      <w:r w:rsidR="00A2309B">
        <w:rPr>
          <w:rFonts w:ascii="Garamond" w:hAnsi="Garamond" w:cs="Calibri"/>
          <w:bCs/>
          <w:iCs/>
          <w:szCs w:val="24"/>
        </w:rPr>
        <w:t>other services, and supplies</w:t>
      </w:r>
      <w:r w:rsidR="00A2309B" w:rsidRPr="00B10812">
        <w:rPr>
          <w:rFonts w:ascii="Garamond" w:hAnsi="Garamond" w:cs="Calibri"/>
          <w:bCs/>
          <w:iCs/>
          <w:szCs w:val="24"/>
        </w:rPr>
        <w:t>.</w:t>
      </w:r>
    </w:p>
    <w:p w14:paraId="45A8DD4B" w14:textId="77777777" w:rsidR="00133D2B" w:rsidRPr="00B10812" w:rsidRDefault="00133D2B" w:rsidP="00A03FD7">
      <w:pPr>
        <w:tabs>
          <w:tab w:val="left" w:pos="360"/>
        </w:tabs>
        <w:ind w:left="720" w:hanging="720"/>
        <w:jc w:val="both"/>
        <w:rPr>
          <w:rFonts w:ascii="Garamond" w:hAnsi="Garamond" w:cs="Calibri"/>
          <w:szCs w:val="24"/>
        </w:rPr>
      </w:pPr>
    </w:p>
    <w:p w14:paraId="7A3E5D62" w14:textId="45D5E089" w:rsidR="007C5850" w:rsidRPr="00B10812" w:rsidRDefault="00133D2B" w:rsidP="00A03FD7">
      <w:pPr>
        <w:tabs>
          <w:tab w:val="left" w:pos="360"/>
        </w:tabs>
        <w:ind w:left="720" w:hanging="720"/>
        <w:jc w:val="both"/>
        <w:rPr>
          <w:rFonts w:ascii="Garamond" w:hAnsi="Garamond" w:cs="Calibri"/>
          <w:szCs w:val="24"/>
        </w:rPr>
      </w:pPr>
      <w:r w:rsidRPr="00B10812">
        <w:rPr>
          <w:rFonts w:ascii="Garamond" w:hAnsi="Garamond" w:cs="Calibri"/>
          <w:szCs w:val="24"/>
        </w:rPr>
        <w:tab/>
      </w:r>
      <w:r w:rsidR="00982D0D" w:rsidRPr="00B10812">
        <w:rPr>
          <w:rFonts w:ascii="Garamond" w:hAnsi="Garamond" w:cs="Calibri"/>
          <w:szCs w:val="24"/>
        </w:rPr>
        <w:t>4</w:t>
      </w:r>
      <w:r w:rsidRPr="00B10812">
        <w:rPr>
          <w:rFonts w:ascii="Garamond" w:hAnsi="Garamond" w:cs="Calibri"/>
          <w:szCs w:val="24"/>
        </w:rPr>
        <w:t xml:space="preserve">. </w:t>
      </w:r>
      <w:r w:rsidRPr="00B10812">
        <w:rPr>
          <w:rFonts w:ascii="Garamond" w:hAnsi="Garamond" w:cs="Calibri"/>
          <w:szCs w:val="24"/>
        </w:rPr>
        <w:tab/>
      </w:r>
      <w:r w:rsidR="007C5850" w:rsidRPr="00B10812">
        <w:rPr>
          <w:rFonts w:ascii="Garamond" w:hAnsi="Garamond" w:cs="Calibri"/>
          <w:szCs w:val="24"/>
        </w:rPr>
        <w:t xml:space="preserve">Graphic illustrations are desired where their use would clarify and illustrate findings and conclusions, but the text of the report must explain the findings and conclusions reached. The full final report will be presented as well as an executive summary. The </w:t>
      </w:r>
      <w:r w:rsidR="00AF3BF6" w:rsidRPr="00B10812">
        <w:rPr>
          <w:rFonts w:ascii="Garamond" w:hAnsi="Garamond" w:cs="Calibri"/>
          <w:szCs w:val="24"/>
        </w:rPr>
        <w:t>chosen vendor</w:t>
      </w:r>
      <w:r w:rsidR="00DE46F6" w:rsidRPr="00B10812">
        <w:rPr>
          <w:rFonts w:ascii="Garamond" w:hAnsi="Garamond" w:cs="Calibri"/>
          <w:szCs w:val="24"/>
        </w:rPr>
        <w:t xml:space="preserve"> </w:t>
      </w:r>
      <w:r w:rsidR="007C5850" w:rsidRPr="00B10812">
        <w:rPr>
          <w:rFonts w:ascii="Garamond" w:hAnsi="Garamond" w:cs="Calibri"/>
          <w:szCs w:val="24"/>
        </w:rPr>
        <w:t xml:space="preserve">shall provide the </w:t>
      </w:r>
      <w:r w:rsidR="00A2309B">
        <w:rPr>
          <w:rFonts w:ascii="Garamond" w:hAnsi="Garamond" w:cs="Calibri"/>
          <w:szCs w:val="24"/>
        </w:rPr>
        <w:t>Lottery</w:t>
      </w:r>
      <w:r w:rsidR="007C5850" w:rsidRPr="00B10812">
        <w:rPr>
          <w:rFonts w:ascii="Garamond" w:hAnsi="Garamond" w:cs="Calibri"/>
          <w:szCs w:val="24"/>
        </w:rPr>
        <w:t xml:space="preserve"> with </w:t>
      </w:r>
      <w:r w:rsidR="00A2309B">
        <w:rPr>
          <w:rFonts w:ascii="Garamond" w:hAnsi="Garamond" w:cs="Calibri"/>
          <w:szCs w:val="24"/>
        </w:rPr>
        <w:t>twelve</w:t>
      </w:r>
      <w:r w:rsidR="007C5850" w:rsidRPr="00B10812">
        <w:rPr>
          <w:rFonts w:ascii="Garamond" w:hAnsi="Garamond" w:cs="Calibri"/>
          <w:szCs w:val="24"/>
        </w:rPr>
        <w:t xml:space="preserve"> </w:t>
      </w:r>
      <w:r w:rsidR="00A2309B">
        <w:rPr>
          <w:rFonts w:ascii="Garamond" w:hAnsi="Garamond" w:cs="Calibri"/>
          <w:szCs w:val="24"/>
        </w:rPr>
        <w:t>(12</w:t>
      </w:r>
      <w:r w:rsidR="007C5850" w:rsidRPr="00B10812">
        <w:rPr>
          <w:rFonts w:ascii="Garamond" w:hAnsi="Garamond" w:cs="Calibri"/>
          <w:szCs w:val="24"/>
        </w:rPr>
        <w:t xml:space="preserve">) copies of the final report and executive summary. The final report and executive summary will also be provided in both electronic </w:t>
      </w:r>
      <w:proofErr w:type="gramStart"/>
      <w:r w:rsidR="007C5850" w:rsidRPr="00B10812">
        <w:rPr>
          <w:rFonts w:ascii="Garamond" w:hAnsi="Garamond" w:cs="Calibri"/>
          <w:szCs w:val="24"/>
        </w:rPr>
        <w:t>format</w:t>
      </w:r>
      <w:proofErr w:type="gramEnd"/>
      <w:r w:rsidR="007C5850" w:rsidRPr="00B10812">
        <w:rPr>
          <w:rFonts w:ascii="Garamond" w:hAnsi="Garamond" w:cs="Calibri"/>
          <w:szCs w:val="24"/>
        </w:rPr>
        <w:t xml:space="preserve"> using the Microsoft Word 2000 </w:t>
      </w:r>
      <w:r w:rsidR="00A2309B">
        <w:rPr>
          <w:rFonts w:ascii="Garamond" w:hAnsi="Garamond" w:cs="Calibri"/>
          <w:szCs w:val="24"/>
        </w:rPr>
        <w:t xml:space="preserve">(or newer) </w:t>
      </w:r>
      <w:r w:rsidR="007C5850" w:rsidRPr="00B10812">
        <w:rPr>
          <w:rFonts w:ascii="Garamond" w:hAnsi="Garamond" w:cs="Calibri"/>
          <w:szCs w:val="24"/>
        </w:rPr>
        <w:t>platform and on compact disk</w:t>
      </w:r>
      <w:r w:rsidR="00A2309B">
        <w:rPr>
          <w:rFonts w:ascii="Garamond" w:hAnsi="Garamond" w:cs="Calibri"/>
          <w:szCs w:val="24"/>
        </w:rPr>
        <w:t xml:space="preserve"> or USB drive</w:t>
      </w:r>
      <w:r w:rsidR="007C5850" w:rsidRPr="00B10812">
        <w:rPr>
          <w:rFonts w:ascii="Garamond" w:hAnsi="Garamond" w:cs="Calibri"/>
          <w:szCs w:val="24"/>
        </w:rPr>
        <w:t xml:space="preserve">.  </w:t>
      </w:r>
    </w:p>
    <w:p w14:paraId="45918252" w14:textId="77777777" w:rsidR="00133D2B" w:rsidRPr="00B10812" w:rsidRDefault="00133D2B" w:rsidP="00A03FD7">
      <w:pPr>
        <w:tabs>
          <w:tab w:val="left" w:pos="360"/>
        </w:tabs>
        <w:ind w:left="720" w:hanging="720"/>
        <w:jc w:val="both"/>
        <w:rPr>
          <w:rFonts w:ascii="Garamond" w:hAnsi="Garamond" w:cs="Calibri"/>
          <w:szCs w:val="24"/>
        </w:rPr>
      </w:pPr>
    </w:p>
    <w:p w14:paraId="7A41583B" w14:textId="76D1C063" w:rsidR="007C5850" w:rsidRPr="00B10812" w:rsidRDefault="00B417D0" w:rsidP="00A03FD7">
      <w:pPr>
        <w:pStyle w:val="BodyText3"/>
        <w:tabs>
          <w:tab w:val="left" w:pos="360"/>
        </w:tabs>
        <w:ind w:left="720" w:hanging="720"/>
        <w:jc w:val="both"/>
        <w:rPr>
          <w:rFonts w:ascii="Garamond" w:hAnsi="Garamond" w:cs="Calibri"/>
          <w:bCs/>
          <w:iCs/>
          <w:sz w:val="24"/>
          <w:szCs w:val="24"/>
        </w:rPr>
      </w:pPr>
      <w:r w:rsidRPr="00B10812">
        <w:rPr>
          <w:rFonts w:ascii="Garamond" w:hAnsi="Garamond" w:cs="Calibri"/>
          <w:bCs/>
          <w:iCs/>
          <w:sz w:val="24"/>
          <w:szCs w:val="24"/>
        </w:rPr>
        <w:tab/>
      </w:r>
      <w:r w:rsidR="00982D0D" w:rsidRPr="00B10812">
        <w:rPr>
          <w:rFonts w:ascii="Garamond" w:hAnsi="Garamond" w:cs="Calibri"/>
          <w:bCs/>
          <w:iCs/>
          <w:sz w:val="24"/>
          <w:szCs w:val="24"/>
        </w:rPr>
        <w:t>5</w:t>
      </w:r>
      <w:r w:rsidR="007C5850" w:rsidRPr="00B10812">
        <w:rPr>
          <w:rFonts w:ascii="Garamond" w:hAnsi="Garamond" w:cs="Calibri"/>
          <w:bCs/>
          <w:iCs/>
          <w:sz w:val="24"/>
          <w:szCs w:val="24"/>
        </w:rPr>
        <w:t>.</w:t>
      </w:r>
      <w:r w:rsidR="007C5850" w:rsidRPr="00B10812">
        <w:rPr>
          <w:rFonts w:ascii="Garamond" w:hAnsi="Garamond" w:cs="Calibri"/>
          <w:bCs/>
          <w:iCs/>
          <w:sz w:val="24"/>
          <w:szCs w:val="24"/>
        </w:rPr>
        <w:tab/>
      </w:r>
      <w:r w:rsidR="00AF3BF6" w:rsidRPr="00B10812">
        <w:rPr>
          <w:rFonts w:ascii="Garamond" w:hAnsi="Garamond" w:cs="Calibri"/>
          <w:bCs/>
          <w:iCs/>
          <w:sz w:val="24"/>
          <w:szCs w:val="24"/>
        </w:rPr>
        <w:t>The chosen vendor</w:t>
      </w:r>
      <w:r w:rsidR="007C5850" w:rsidRPr="00B10812">
        <w:rPr>
          <w:rFonts w:ascii="Garamond" w:hAnsi="Garamond" w:cs="Calibri"/>
          <w:bCs/>
          <w:iCs/>
          <w:sz w:val="24"/>
          <w:szCs w:val="24"/>
        </w:rPr>
        <w:t xml:space="preserve"> will retain all the raw data collected until otherwise instructed by the </w:t>
      </w:r>
      <w:r w:rsidR="00A2309B">
        <w:rPr>
          <w:rFonts w:ascii="Garamond" w:hAnsi="Garamond" w:cs="Calibri"/>
          <w:bCs/>
          <w:iCs/>
          <w:sz w:val="24"/>
          <w:szCs w:val="24"/>
        </w:rPr>
        <w:t>Lottery</w:t>
      </w:r>
      <w:r w:rsidR="007C5850" w:rsidRPr="00B10812">
        <w:rPr>
          <w:rFonts w:ascii="Garamond" w:hAnsi="Garamond" w:cs="Calibri"/>
          <w:bCs/>
          <w:iCs/>
          <w:sz w:val="24"/>
          <w:szCs w:val="24"/>
        </w:rPr>
        <w:t xml:space="preserve"> </w:t>
      </w:r>
      <w:proofErr w:type="gramStart"/>
      <w:r w:rsidR="007C5850" w:rsidRPr="00B10812">
        <w:rPr>
          <w:rFonts w:ascii="Garamond" w:hAnsi="Garamond" w:cs="Calibri"/>
          <w:bCs/>
          <w:iCs/>
          <w:sz w:val="24"/>
          <w:szCs w:val="24"/>
        </w:rPr>
        <w:t>in the event that</w:t>
      </w:r>
      <w:proofErr w:type="gramEnd"/>
      <w:r w:rsidR="007C5850" w:rsidRPr="00B10812">
        <w:rPr>
          <w:rFonts w:ascii="Garamond" w:hAnsi="Garamond" w:cs="Calibri"/>
          <w:bCs/>
          <w:iCs/>
          <w:sz w:val="24"/>
          <w:szCs w:val="24"/>
        </w:rPr>
        <w:t xml:space="preserve"> the </w:t>
      </w:r>
      <w:r w:rsidR="00A2309B">
        <w:rPr>
          <w:rFonts w:ascii="Garamond" w:hAnsi="Garamond" w:cs="Calibri"/>
          <w:bCs/>
          <w:iCs/>
          <w:sz w:val="24"/>
          <w:szCs w:val="24"/>
        </w:rPr>
        <w:t>Lottery</w:t>
      </w:r>
      <w:r w:rsidR="007C5850" w:rsidRPr="00B10812">
        <w:rPr>
          <w:rFonts w:ascii="Garamond" w:hAnsi="Garamond" w:cs="Calibri"/>
          <w:bCs/>
          <w:iCs/>
          <w:sz w:val="24"/>
          <w:szCs w:val="24"/>
        </w:rPr>
        <w:t xml:space="preserve"> would later require an additional analysis of the data should its program be challenged. The </w:t>
      </w:r>
      <w:r w:rsidR="00AF3BF6" w:rsidRPr="00B10812">
        <w:rPr>
          <w:rFonts w:ascii="Garamond" w:hAnsi="Garamond" w:cs="Calibri"/>
          <w:bCs/>
          <w:iCs/>
          <w:sz w:val="24"/>
          <w:szCs w:val="24"/>
        </w:rPr>
        <w:t xml:space="preserve">chosen </w:t>
      </w:r>
      <w:r w:rsidR="003C77DF">
        <w:rPr>
          <w:rFonts w:ascii="Garamond" w:hAnsi="Garamond" w:cs="Calibri"/>
          <w:bCs/>
          <w:iCs/>
          <w:sz w:val="24"/>
          <w:szCs w:val="24"/>
        </w:rPr>
        <w:t>V</w:t>
      </w:r>
      <w:r w:rsidR="00AF3BF6" w:rsidRPr="00B10812">
        <w:rPr>
          <w:rFonts w:ascii="Garamond" w:hAnsi="Garamond" w:cs="Calibri"/>
          <w:bCs/>
          <w:iCs/>
          <w:sz w:val="24"/>
          <w:szCs w:val="24"/>
        </w:rPr>
        <w:t>endor</w:t>
      </w:r>
      <w:r w:rsidR="007C5850" w:rsidRPr="00B10812">
        <w:rPr>
          <w:rFonts w:ascii="Garamond" w:hAnsi="Garamond" w:cs="Calibri"/>
          <w:bCs/>
          <w:iCs/>
          <w:sz w:val="24"/>
          <w:szCs w:val="24"/>
        </w:rPr>
        <w:t xml:space="preserve"> shall submit all raw and analyzed data to </w:t>
      </w:r>
      <w:r w:rsidR="00A2309B">
        <w:rPr>
          <w:rFonts w:ascii="Garamond" w:hAnsi="Garamond" w:cs="Calibri"/>
          <w:bCs/>
          <w:iCs/>
          <w:sz w:val="24"/>
          <w:szCs w:val="24"/>
        </w:rPr>
        <w:t>Lottery</w:t>
      </w:r>
      <w:r w:rsidR="00AF1142" w:rsidRPr="00B10812">
        <w:rPr>
          <w:rFonts w:ascii="Garamond" w:hAnsi="Garamond" w:cs="Calibri"/>
          <w:bCs/>
          <w:iCs/>
          <w:sz w:val="24"/>
          <w:szCs w:val="24"/>
        </w:rPr>
        <w:t xml:space="preserve"> </w:t>
      </w:r>
      <w:r w:rsidR="007C5850" w:rsidRPr="00B10812">
        <w:rPr>
          <w:rFonts w:ascii="Garamond" w:hAnsi="Garamond" w:cs="Calibri"/>
          <w:bCs/>
          <w:iCs/>
          <w:sz w:val="24"/>
          <w:szCs w:val="24"/>
        </w:rPr>
        <w:t>upon request.</w:t>
      </w:r>
    </w:p>
    <w:p w14:paraId="37E2C479" w14:textId="77777777" w:rsidR="00AB1FA6" w:rsidRPr="00B10812" w:rsidRDefault="00AB1FA6">
      <w:pPr>
        <w:rPr>
          <w:rFonts w:ascii="Garamond" w:hAnsi="Garamond" w:cs="Calibri"/>
        </w:rPr>
      </w:pPr>
    </w:p>
    <w:sectPr w:rsidR="00AB1FA6" w:rsidRPr="00B10812" w:rsidSect="007171F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B740" w14:textId="77777777" w:rsidR="002A2505" w:rsidRDefault="002A2505" w:rsidP="00025840">
      <w:r>
        <w:separator/>
      </w:r>
    </w:p>
  </w:endnote>
  <w:endnote w:type="continuationSeparator" w:id="0">
    <w:p w14:paraId="05F00C81" w14:textId="77777777" w:rsidR="002A2505" w:rsidRDefault="002A2505" w:rsidP="0002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806" w14:textId="77777777" w:rsidR="002556DF" w:rsidRDefault="002556DF" w:rsidP="00717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EF8BA" w14:textId="77777777" w:rsidR="002556DF" w:rsidRDefault="0025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A76C" w14:textId="77777777" w:rsidR="002556DF" w:rsidRPr="00B10812" w:rsidRDefault="002556DF">
    <w:pPr>
      <w:pStyle w:val="Footer"/>
      <w:jc w:val="center"/>
      <w:rPr>
        <w:rFonts w:ascii="Garamond" w:hAnsi="Garamond"/>
      </w:rPr>
    </w:pPr>
    <w:r w:rsidRPr="00B10812">
      <w:rPr>
        <w:rFonts w:ascii="Garamond" w:hAnsi="Garamond" w:cs="Calibri"/>
        <w:sz w:val="20"/>
      </w:rPr>
      <w:t xml:space="preserve">Page </w:t>
    </w:r>
    <w:r w:rsidRPr="00B10812">
      <w:rPr>
        <w:rFonts w:ascii="Garamond" w:hAnsi="Garamond" w:cs="Calibri"/>
        <w:b/>
        <w:sz w:val="20"/>
      </w:rPr>
      <w:fldChar w:fldCharType="begin"/>
    </w:r>
    <w:r w:rsidRPr="00B10812">
      <w:rPr>
        <w:rFonts w:ascii="Garamond" w:hAnsi="Garamond" w:cs="Calibri"/>
        <w:b/>
        <w:sz w:val="20"/>
      </w:rPr>
      <w:instrText xml:space="preserve"> PAGE </w:instrText>
    </w:r>
    <w:r w:rsidRPr="00B10812">
      <w:rPr>
        <w:rFonts w:ascii="Garamond" w:hAnsi="Garamond" w:cs="Calibri"/>
        <w:b/>
        <w:sz w:val="20"/>
      </w:rPr>
      <w:fldChar w:fldCharType="separate"/>
    </w:r>
    <w:r w:rsidR="00D26C4A">
      <w:rPr>
        <w:rFonts w:ascii="Garamond" w:hAnsi="Garamond" w:cs="Calibri"/>
        <w:b/>
        <w:noProof/>
        <w:sz w:val="20"/>
      </w:rPr>
      <w:t>5</w:t>
    </w:r>
    <w:r w:rsidRPr="00B10812">
      <w:rPr>
        <w:rFonts w:ascii="Garamond" w:hAnsi="Garamond" w:cs="Calibri"/>
        <w:b/>
        <w:sz w:val="20"/>
      </w:rPr>
      <w:fldChar w:fldCharType="end"/>
    </w:r>
    <w:r w:rsidRPr="00B10812">
      <w:rPr>
        <w:rFonts w:ascii="Garamond" w:hAnsi="Garamond" w:cs="Calibri"/>
        <w:sz w:val="20"/>
      </w:rPr>
      <w:t xml:space="preserve"> of </w:t>
    </w:r>
    <w:r w:rsidRPr="00B10812">
      <w:rPr>
        <w:rFonts w:ascii="Garamond" w:hAnsi="Garamond" w:cs="Calibri"/>
        <w:b/>
        <w:sz w:val="20"/>
      </w:rPr>
      <w:fldChar w:fldCharType="begin"/>
    </w:r>
    <w:r w:rsidRPr="00B10812">
      <w:rPr>
        <w:rFonts w:ascii="Garamond" w:hAnsi="Garamond" w:cs="Calibri"/>
        <w:b/>
        <w:sz w:val="20"/>
      </w:rPr>
      <w:instrText xml:space="preserve"> NUMPAGES  </w:instrText>
    </w:r>
    <w:r w:rsidRPr="00B10812">
      <w:rPr>
        <w:rFonts w:ascii="Garamond" w:hAnsi="Garamond" w:cs="Calibri"/>
        <w:b/>
        <w:sz w:val="20"/>
      </w:rPr>
      <w:fldChar w:fldCharType="separate"/>
    </w:r>
    <w:r w:rsidR="00D26C4A">
      <w:rPr>
        <w:rFonts w:ascii="Garamond" w:hAnsi="Garamond" w:cs="Calibri"/>
        <w:b/>
        <w:noProof/>
        <w:sz w:val="20"/>
      </w:rPr>
      <w:t>5</w:t>
    </w:r>
    <w:r w:rsidRPr="00B10812">
      <w:rPr>
        <w:rFonts w:ascii="Garamond" w:hAnsi="Garamond" w:cs="Calibri"/>
        <w:b/>
        <w:sz w:val="20"/>
      </w:rPr>
      <w:fldChar w:fldCharType="end"/>
    </w:r>
  </w:p>
  <w:p w14:paraId="0CE488EB" w14:textId="77777777" w:rsidR="002556DF" w:rsidRDefault="0025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A9A1" w14:textId="77777777" w:rsidR="002A2505" w:rsidRDefault="002A2505" w:rsidP="00025840">
      <w:r>
        <w:separator/>
      </w:r>
    </w:p>
  </w:footnote>
  <w:footnote w:type="continuationSeparator" w:id="0">
    <w:p w14:paraId="7311BCD5" w14:textId="77777777" w:rsidR="002A2505" w:rsidRDefault="002A2505" w:rsidP="0002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3DD"/>
    <w:multiLevelType w:val="hybridMultilevel"/>
    <w:tmpl w:val="5D90E1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615BD"/>
    <w:multiLevelType w:val="hybridMultilevel"/>
    <w:tmpl w:val="40D8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07617"/>
    <w:multiLevelType w:val="hybridMultilevel"/>
    <w:tmpl w:val="65B44B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B3E32BD"/>
    <w:multiLevelType w:val="hybridMultilevel"/>
    <w:tmpl w:val="4A60B0EA"/>
    <w:lvl w:ilvl="0" w:tplc="E2F6A1B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D3AF9"/>
    <w:multiLevelType w:val="hybridMultilevel"/>
    <w:tmpl w:val="B50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797651">
    <w:abstractNumId w:val="2"/>
  </w:num>
  <w:num w:numId="2" w16cid:durableId="2144035482">
    <w:abstractNumId w:val="0"/>
  </w:num>
  <w:num w:numId="3" w16cid:durableId="1853717286">
    <w:abstractNumId w:val="1"/>
  </w:num>
  <w:num w:numId="4" w16cid:durableId="998264017">
    <w:abstractNumId w:val="3"/>
  </w:num>
  <w:num w:numId="5" w16cid:durableId="832527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MTWyNDcyMTIzMDBV0lEKTi0uzszPAykwqgUAjgRG1ywAAAA="/>
  </w:docVars>
  <w:rsids>
    <w:rsidRoot w:val="007C5850"/>
    <w:rsid w:val="0000002B"/>
    <w:rsid w:val="00002E9E"/>
    <w:rsid w:val="00025840"/>
    <w:rsid w:val="00030030"/>
    <w:rsid w:val="00052EB9"/>
    <w:rsid w:val="00062827"/>
    <w:rsid w:val="00071AC5"/>
    <w:rsid w:val="000766F9"/>
    <w:rsid w:val="0008150D"/>
    <w:rsid w:val="000C0139"/>
    <w:rsid w:val="000D1AEE"/>
    <w:rsid w:val="000E1510"/>
    <w:rsid w:val="000E2D70"/>
    <w:rsid w:val="000F0446"/>
    <w:rsid w:val="000F07D2"/>
    <w:rsid w:val="000F1F5D"/>
    <w:rsid w:val="00105B4E"/>
    <w:rsid w:val="00133D2B"/>
    <w:rsid w:val="001428E6"/>
    <w:rsid w:val="001504B4"/>
    <w:rsid w:val="00177171"/>
    <w:rsid w:val="0018697D"/>
    <w:rsid w:val="001B397D"/>
    <w:rsid w:val="001C40B1"/>
    <w:rsid w:val="001C705C"/>
    <w:rsid w:val="001D3D18"/>
    <w:rsid w:val="00226083"/>
    <w:rsid w:val="002476D9"/>
    <w:rsid w:val="002556DF"/>
    <w:rsid w:val="00277452"/>
    <w:rsid w:val="002A2505"/>
    <w:rsid w:val="002A7459"/>
    <w:rsid w:val="002C2FDC"/>
    <w:rsid w:val="002E2F5F"/>
    <w:rsid w:val="0030237A"/>
    <w:rsid w:val="0033103B"/>
    <w:rsid w:val="00360FA1"/>
    <w:rsid w:val="003746DC"/>
    <w:rsid w:val="003C77DF"/>
    <w:rsid w:val="003F36E4"/>
    <w:rsid w:val="003F42D8"/>
    <w:rsid w:val="004005E9"/>
    <w:rsid w:val="00407F17"/>
    <w:rsid w:val="00425BB0"/>
    <w:rsid w:val="004274AC"/>
    <w:rsid w:val="00431850"/>
    <w:rsid w:val="0043273D"/>
    <w:rsid w:val="004619C3"/>
    <w:rsid w:val="004674E2"/>
    <w:rsid w:val="004748F5"/>
    <w:rsid w:val="004927BD"/>
    <w:rsid w:val="004970A7"/>
    <w:rsid w:val="004C1132"/>
    <w:rsid w:val="00500767"/>
    <w:rsid w:val="0052585B"/>
    <w:rsid w:val="00532FF2"/>
    <w:rsid w:val="00533D35"/>
    <w:rsid w:val="005342FE"/>
    <w:rsid w:val="0054561F"/>
    <w:rsid w:val="00550185"/>
    <w:rsid w:val="005549E1"/>
    <w:rsid w:val="00554C1E"/>
    <w:rsid w:val="00564324"/>
    <w:rsid w:val="00564D8E"/>
    <w:rsid w:val="00566BA8"/>
    <w:rsid w:val="00571268"/>
    <w:rsid w:val="00597E9A"/>
    <w:rsid w:val="005A6AA5"/>
    <w:rsid w:val="005B76F1"/>
    <w:rsid w:val="005C155A"/>
    <w:rsid w:val="005C62C0"/>
    <w:rsid w:val="00614FDB"/>
    <w:rsid w:val="00634330"/>
    <w:rsid w:val="00653057"/>
    <w:rsid w:val="006955CB"/>
    <w:rsid w:val="006B0812"/>
    <w:rsid w:val="006B7DEC"/>
    <w:rsid w:val="006C1DC1"/>
    <w:rsid w:val="006C379F"/>
    <w:rsid w:val="006C54B0"/>
    <w:rsid w:val="006D5B6E"/>
    <w:rsid w:val="006D762C"/>
    <w:rsid w:val="006E6314"/>
    <w:rsid w:val="007070EE"/>
    <w:rsid w:val="00714AC7"/>
    <w:rsid w:val="007153CC"/>
    <w:rsid w:val="007171F6"/>
    <w:rsid w:val="007227E1"/>
    <w:rsid w:val="007438D2"/>
    <w:rsid w:val="00762A34"/>
    <w:rsid w:val="00773BD5"/>
    <w:rsid w:val="00773CA9"/>
    <w:rsid w:val="00787D44"/>
    <w:rsid w:val="00793ADA"/>
    <w:rsid w:val="007C5850"/>
    <w:rsid w:val="007D71FB"/>
    <w:rsid w:val="0080512B"/>
    <w:rsid w:val="00815895"/>
    <w:rsid w:val="00823114"/>
    <w:rsid w:val="00827844"/>
    <w:rsid w:val="00842FDD"/>
    <w:rsid w:val="008B5E44"/>
    <w:rsid w:val="008B77EC"/>
    <w:rsid w:val="008D3CA6"/>
    <w:rsid w:val="008D75CE"/>
    <w:rsid w:val="008E3BB2"/>
    <w:rsid w:val="008F7EF7"/>
    <w:rsid w:val="0091333E"/>
    <w:rsid w:val="00916135"/>
    <w:rsid w:val="0093368E"/>
    <w:rsid w:val="00941914"/>
    <w:rsid w:val="00950DDF"/>
    <w:rsid w:val="00952FC9"/>
    <w:rsid w:val="00982D0D"/>
    <w:rsid w:val="00991F62"/>
    <w:rsid w:val="009A0310"/>
    <w:rsid w:val="009F339F"/>
    <w:rsid w:val="009F42A6"/>
    <w:rsid w:val="009F7AAE"/>
    <w:rsid w:val="00A03FD7"/>
    <w:rsid w:val="00A10C15"/>
    <w:rsid w:val="00A2309B"/>
    <w:rsid w:val="00A338DE"/>
    <w:rsid w:val="00A41406"/>
    <w:rsid w:val="00A45E11"/>
    <w:rsid w:val="00A93EFE"/>
    <w:rsid w:val="00AB1FA6"/>
    <w:rsid w:val="00AB435C"/>
    <w:rsid w:val="00AD7A58"/>
    <w:rsid w:val="00AE5C66"/>
    <w:rsid w:val="00AE6C41"/>
    <w:rsid w:val="00AF1142"/>
    <w:rsid w:val="00AF3BF6"/>
    <w:rsid w:val="00B023A4"/>
    <w:rsid w:val="00B10812"/>
    <w:rsid w:val="00B16FE2"/>
    <w:rsid w:val="00B22777"/>
    <w:rsid w:val="00B26055"/>
    <w:rsid w:val="00B26CB3"/>
    <w:rsid w:val="00B417D0"/>
    <w:rsid w:val="00B4215A"/>
    <w:rsid w:val="00B6115D"/>
    <w:rsid w:val="00B64C08"/>
    <w:rsid w:val="00B73DDC"/>
    <w:rsid w:val="00B83DDE"/>
    <w:rsid w:val="00B9785C"/>
    <w:rsid w:val="00C54934"/>
    <w:rsid w:val="00C85BB2"/>
    <w:rsid w:val="00C86208"/>
    <w:rsid w:val="00CA2330"/>
    <w:rsid w:val="00CC5F84"/>
    <w:rsid w:val="00D028EC"/>
    <w:rsid w:val="00D100E6"/>
    <w:rsid w:val="00D11100"/>
    <w:rsid w:val="00D26C4A"/>
    <w:rsid w:val="00D521DB"/>
    <w:rsid w:val="00D5715B"/>
    <w:rsid w:val="00D84B06"/>
    <w:rsid w:val="00D91396"/>
    <w:rsid w:val="00DE46F6"/>
    <w:rsid w:val="00E07F0F"/>
    <w:rsid w:val="00E102BE"/>
    <w:rsid w:val="00E118FC"/>
    <w:rsid w:val="00E3431A"/>
    <w:rsid w:val="00E51072"/>
    <w:rsid w:val="00E51599"/>
    <w:rsid w:val="00E64F21"/>
    <w:rsid w:val="00E65E30"/>
    <w:rsid w:val="00E80525"/>
    <w:rsid w:val="00E96850"/>
    <w:rsid w:val="00EA0E01"/>
    <w:rsid w:val="00EA7AF2"/>
    <w:rsid w:val="00EC3E84"/>
    <w:rsid w:val="00F02923"/>
    <w:rsid w:val="00F04CA7"/>
    <w:rsid w:val="00F50EB2"/>
    <w:rsid w:val="00F6043D"/>
    <w:rsid w:val="00F73A39"/>
    <w:rsid w:val="00F96448"/>
    <w:rsid w:val="00FA5F30"/>
    <w:rsid w:val="00FD6BCF"/>
    <w:rsid w:val="00FD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62AC"/>
  <w15:chartTrackingRefBased/>
  <w15:docId w15:val="{8AA63850-52D6-44D7-B6E0-888E3BED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50"/>
    <w:pPr>
      <w:widowControl w:val="0"/>
    </w:pPr>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5850"/>
    <w:pPr>
      <w:tabs>
        <w:tab w:val="center" w:pos="4320"/>
        <w:tab w:val="right" w:pos="8640"/>
      </w:tabs>
    </w:pPr>
    <w:rPr>
      <w:snapToGrid w:val="0"/>
    </w:rPr>
  </w:style>
  <w:style w:type="character" w:customStyle="1" w:styleId="FooterChar">
    <w:name w:val="Footer Char"/>
    <w:link w:val="Footer"/>
    <w:uiPriority w:val="99"/>
    <w:rsid w:val="007C5850"/>
    <w:rPr>
      <w:rFonts w:ascii="Courier" w:eastAsia="Times New Roman" w:hAnsi="Courier" w:cs="Times New Roman"/>
      <w:snapToGrid w:val="0"/>
      <w:sz w:val="24"/>
      <w:szCs w:val="20"/>
    </w:rPr>
  </w:style>
  <w:style w:type="character" w:styleId="PageNumber">
    <w:name w:val="page number"/>
    <w:uiPriority w:val="99"/>
    <w:rsid w:val="007C5850"/>
    <w:rPr>
      <w:rFonts w:cs="Times New Roman"/>
    </w:rPr>
  </w:style>
  <w:style w:type="paragraph" w:styleId="BodyText3">
    <w:name w:val="Body Text 3"/>
    <w:basedOn w:val="Normal"/>
    <w:link w:val="BodyText3Char"/>
    <w:uiPriority w:val="99"/>
    <w:rsid w:val="007C5850"/>
    <w:pPr>
      <w:spacing w:after="120"/>
    </w:pPr>
    <w:rPr>
      <w:rFonts w:cs="Courier"/>
      <w:sz w:val="16"/>
      <w:szCs w:val="16"/>
    </w:rPr>
  </w:style>
  <w:style w:type="character" w:customStyle="1" w:styleId="BodyText3Char">
    <w:name w:val="Body Text 3 Char"/>
    <w:link w:val="BodyText3"/>
    <w:uiPriority w:val="99"/>
    <w:rsid w:val="007C5850"/>
    <w:rPr>
      <w:rFonts w:ascii="Courier" w:eastAsia="Times New Roman" w:hAnsi="Courier" w:cs="Courier"/>
      <w:sz w:val="16"/>
      <w:szCs w:val="16"/>
    </w:rPr>
  </w:style>
  <w:style w:type="paragraph" w:styleId="BodyTextIndent2">
    <w:name w:val="Body Text Indent 2"/>
    <w:basedOn w:val="Normal"/>
    <w:link w:val="BodyTextIndent2Char"/>
    <w:uiPriority w:val="99"/>
    <w:semiHidden/>
    <w:unhideWhenUsed/>
    <w:rsid w:val="007C5850"/>
    <w:pPr>
      <w:spacing w:after="120" w:line="480" w:lineRule="auto"/>
      <w:ind w:left="360"/>
    </w:pPr>
  </w:style>
  <w:style w:type="character" w:customStyle="1" w:styleId="BodyTextIndent2Char">
    <w:name w:val="Body Text Indent 2 Char"/>
    <w:link w:val="BodyTextIndent2"/>
    <w:uiPriority w:val="99"/>
    <w:semiHidden/>
    <w:rsid w:val="007C5850"/>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4274AC"/>
    <w:rPr>
      <w:rFonts w:ascii="Tahoma" w:hAnsi="Tahoma" w:cs="Tahoma"/>
      <w:sz w:val="16"/>
      <w:szCs w:val="16"/>
    </w:rPr>
  </w:style>
  <w:style w:type="character" w:customStyle="1" w:styleId="BalloonTextChar">
    <w:name w:val="Balloon Text Char"/>
    <w:link w:val="BalloonText"/>
    <w:uiPriority w:val="99"/>
    <w:semiHidden/>
    <w:rsid w:val="004274AC"/>
    <w:rPr>
      <w:rFonts w:ascii="Tahoma" w:eastAsia="Times New Roman" w:hAnsi="Tahoma" w:cs="Tahoma"/>
      <w:sz w:val="16"/>
      <w:szCs w:val="16"/>
    </w:rPr>
  </w:style>
  <w:style w:type="character" w:styleId="CommentReference">
    <w:name w:val="annotation reference"/>
    <w:uiPriority w:val="99"/>
    <w:semiHidden/>
    <w:unhideWhenUsed/>
    <w:rsid w:val="00105B4E"/>
    <w:rPr>
      <w:sz w:val="16"/>
      <w:szCs w:val="16"/>
    </w:rPr>
  </w:style>
  <w:style w:type="paragraph" w:styleId="CommentText">
    <w:name w:val="annotation text"/>
    <w:basedOn w:val="Normal"/>
    <w:link w:val="CommentTextChar"/>
    <w:uiPriority w:val="99"/>
    <w:semiHidden/>
    <w:unhideWhenUsed/>
    <w:rsid w:val="00105B4E"/>
    <w:rPr>
      <w:sz w:val="20"/>
    </w:rPr>
  </w:style>
  <w:style w:type="character" w:customStyle="1" w:styleId="CommentTextChar">
    <w:name w:val="Comment Text Char"/>
    <w:link w:val="CommentText"/>
    <w:uiPriority w:val="99"/>
    <w:semiHidden/>
    <w:rsid w:val="00105B4E"/>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05B4E"/>
    <w:rPr>
      <w:b/>
      <w:bCs/>
    </w:rPr>
  </w:style>
  <w:style w:type="character" w:customStyle="1" w:styleId="CommentSubjectChar">
    <w:name w:val="Comment Subject Char"/>
    <w:link w:val="CommentSubject"/>
    <w:uiPriority w:val="99"/>
    <w:semiHidden/>
    <w:rsid w:val="00105B4E"/>
    <w:rPr>
      <w:rFonts w:ascii="Courier" w:eastAsia="Times New Roman" w:hAnsi="Courier"/>
      <w:b/>
      <w:bCs/>
    </w:rPr>
  </w:style>
  <w:style w:type="paragraph" w:styleId="ListParagraph">
    <w:name w:val="List Paragraph"/>
    <w:aliases w:val="Alpha List Paragraph,List Paragraph1"/>
    <w:basedOn w:val="Normal"/>
    <w:link w:val="ListParagraphChar"/>
    <w:uiPriority w:val="34"/>
    <w:qFormat/>
    <w:rsid w:val="00EA0E01"/>
    <w:pPr>
      <w:ind w:left="720"/>
    </w:pPr>
  </w:style>
  <w:style w:type="character" w:customStyle="1" w:styleId="ListParagraphChar">
    <w:name w:val="List Paragraph Char"/>
    <w:aliases w:val="Alpha List Paragraph Char,List Paragraph1 Char"/>
    <w:link w:val="ListParagraph"/>
    <w:uiPriority w:val="34"/>
    <w:locked/>
    <w:rsid w:val="00614FDB"/>
    <w:rPr>
      <w:rFonts w:ascii="Courier" w:eastAsia="Times New Roman" w:hAnsi="Courier"/>
      <w:sz w:val="24"/>
    </w:rPr>
  </w:style>
  <w:style w:type="paragraph" w:styleId="Header">
    <w:name w:val="header"/>
    <w:basedOn w:val="Normal"/>
    <w:link w:val="HeaderChar"/>
    <w:uiPriority w:val="99"/>
    <w:unhideWhenUsed/>
    <w:rsid w:val="00B10812"/>
    <w:pPr>
      <w:tabs>
        <w:tab w:val="center" w:pos="4680"/>
        <w:tab w:val="right" w:pos="9360"/>
      </w:tabs>
    </w:pPr>
  </w:style>
  <w:style w:type="character" w:customStyle="1" w:styleId="HeaderChar">
    <w:name w:val="Header Char"/>
    <w:link w:val="Header"/>
    <w:uiPriority w:val="99"/>
    <w:rsid w:val="00B10812"/>
    <w:rPr>
      <w:rFonts w:ascii="Courier" w:eastAsia="Times New Roman" w:hAnsi="Courier"/>
      <w:sz w:val="24"/>
    </w:rPr>
  </w:style>
  <w:style w:type="paragraph" w:styleId="NormalWeb">
    <w:name w:val="Normal (Web)"/>
    <w:basedOn w:val="Normal"/>
    <w:uiPriority w:val="99"/>
    <w:semiHidden/>
    <w:unhideWhenUsed/>
    <w:rsid w:val="00A2309B"/>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2444">
      <w:bodyDiv w:val="1"/>
      <w:marLeft w:val="0"/>
      <w:marRight w:val="0"/>
      <w:marTop w:val="0"/>
      <w:marBottom w:val="0"/>
      <w:divBdr>
        <w:top w:val="none" w:sz="0" w:space="0" w:color="auto"/>
        <w:left w:val="none" w:sz="0" w:space="0" w:color="auto"/>
        <w:bottom w:val="none" w:sz="0" w:space="0" w:color="auto"/>
        <w:right w:val="none" w:sz="0" w:space="0" w:color="auto"/>
      </w:divBdr>
    </w:div>
    <w:div w:id="976953712">
      <w:bodyDiv w:val="1"/>
      <w:marLeft w:val="0"/>
      <w:marRight w:val="0"/>
      <w:marTop w:val="0"/>
      <w:marBottom w:val="0"/>
      <w:divBdr>
        <w:top w:val="none" w:sz="0" w:space="0" w:color="auto"/>
        <w:left w:val="none" w:sz="0" w:space="0" w:color="auto"/>
        <w:bottom w:val="none" w:sz="0" w:space="0" w:color="auto"/>
        <w:right w:val="none" w:sz="0" w:space="0" w:color="auto"/>
      </w:divBdr>
    </w:div>
    <w:div w:id="18665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sjudson</dc:creator>
  <cp:keywords/>
  <cp:lastModifiedBy>Taylor, Chuck</cp:lastModifiedBy>
  <cp:revision>7</cp:revision>
  <cp:lastPrinted>2019-03-01T22:29:00Z</cp:lastPrinted>
  <dcterms:created xsi:type="dcterms:W3CDTF">2022-09-15T20:41:00Z</dcterms:created>
  <dcterms:modified xsi:type="dcterms:W3CDTF">2022-09-30T18:05:00Z</dcterms:modified>
</cp:coreProperties>
</file>